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4941" w:rsidRDefault="00A24941" w:rsidP="00A24941"/>
    <w:p w:rsidR="00A24941" w:rsidRPr="003B297D" w:rsidRDefault="00A24941" w:rsidP="00A24941">
      <w:pPr>
        <w:rPr>
          <w:rFonts w:ascii="Arial" w:hAnsi="Arial" w:cs="Arial"/>
          <w:sz w:val="32"/>
          <w:szCs w:val="32"/>
        </w:rPr>
      </w:pPr>
      <w:r>
        <w:rPr>
          <w:noProof/>
          <w:lang w:eastAsia="es-MX"/>
        </w:rPr>
        <w:drawing>
          <wp:anchor distT="0" distB="0" distL="114300" distR="114300" simplePos="0" relativeHeight="251659264" behindDoc="1" locked="0" layoutInCell="1" allowOverlap="1" wp14:anchorId="27D072B6" wp14:editId="02CD6D56">
            <wp:simplePos x="0" y="0"/>
            <wp:positionH relativeFrom="margin">
              <wp:posOffset>0</wp:posOffset>
            </wp:positionH>
            <wp:positionV relativeFrom="paragraph">
              <wp:posOffset>353695</wp:posOffset>
            </wp:positionV>
            <wp:extent cx="5603240" cy="1866900"/>
            <wp:effectExtent l="0" t="0" r="0" b="0"/>
            <wp:wrapSquare wrapText="bothSides"/>
            <wp:docPr id="80" name="Imagen 80"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24941" w:rsidRDefault="00A24941" w:rsidP="00A24941">
      <w:pPr>
        <w:rPr>
          <w:rFonts w:ascii="Arial" w:hAnsi="Arial" w:cs="Arial"/>
          <w:sz w:val="32"/>
          <w:szCs w:val="32"/>
        </w:rPr>
      </w:pPr>
    </w:p>
    <w:p w:rsidR="00A24941" w:rsidRPr="003B297D" w:rsidRDefault="00A24941" w:rsidP="00A24941">
      <w:pPr>
        <w:rPr>
          <w:rFonts w:ascii="Arial" w:hAnsi="Arial" w:cs="Arial"/>
          <w:sz w:val="32"/>
          <w:szCs w:val="32"/>
        </w:rPr>
      </w:pPr>
    </w:p>
    <w:p w:rsidR="00A24941" w:rsidRPr="003B297D" w:rsidRDefault="00A24941" w:rsidP="00A24941">
      <w:pPr>
        <w:rPr>
          <w:rFonts w:ascii="Arial" w:hAnsi="Arial" w:cs="Arial"/>
          <w:sz w:val="32"/>
          <w:szCs w:val="32"/>
        </w:rPr>
      </w:pPr>
    </w:p>
    <w:p w:rsidR="00A24941" w:rsidRDefault="00A24941" w:rsidP="00A24941">
      <w:pPr>
        <w:jc w:val="center"/>
        <w:rPr>
          <w:rFonts w:ascii="Arial" w:hAnsi="Arial" w:cs="Arial"/>
          <w:b/>
          <w:sz w:val="32"/>
          <w:szCs w:val="32"/>
        </w:rPr>
      </w:pPr>
      <w:r w:rsidRPr="003B297D">
        <w:rPr>
          <w:rFonts w:ascii="Arial" w:hAnsi="Arial" w:cs="Arial"/>
          <w:b/>
          <w:sz w:val="32"/>
          <w:szCs w:val="32"/>
        </w:rPr>
        <w:t>ESPECIALIDAD EN CIRUGÍA GENERAL</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r>
        <w:rPr>
          <w:rFonts w:ascii="Arial" w:hAnsi="Arial" w:cs="Arial"/>
          <w:b/>
          <w:sz w:val="32"/>
          <w:szCs w:val="32"/>
        </w:rPr>
        <w:t>FUNDAMENTACIÓN SOCIOACADÉMICA</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893C69" w:rsidRDefault="00893C69"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Pr="003B297D" w:rsidRDefault="00A24941" w:rsidP="00A24941">
      <w:pPr>
        <w:jc w:val="right"/>
        <w:rPr>
          <w:rFonts w:ascii="Arial" w:hAnsi="Arial" w:cs="Arial"/>
          <w:b/>
          <w:sz w:val="32"/>
          <w:szCs w:val="32"/>
        </w:rPr>
      </w:pPr>
      <w:r>
        <w:rPr>
          <w:rFonts w:ascii="Arial" w:hAnsi="Arial" w:cs="Arial"/>
          <w:b/>
          <w:sz w:val="32"/>
          <w:szCs w:val="32"/>
        </w:rPr>
        <w:t>Ju</w:t>
      </w:r>
      <w:r w:rsidR="00A82579">
        <w:rPr>
          <w:rFonts w:ascii="Arial" w:hAnsi="Arial" w:cs="Arial"/>
          <w:b/>
          <w:sz w:val="32"/>
          <w:szCs w:val="32"/>
        </w:rPr>
        <w:t>l</w:t>
      </w:r>
      <w:r>
        <w:rPr>
          <w:rFonts w:ascii="Arial" w:hAnsi="Arial" w:cs="Arial"/>
          <w:b/>
          <w:sz w:val="32"/>
          <w:szCs w:val="32"/>
        </w:rPr>
        <w:t>io 2019</w:t>
      </w:r>
    </w:p>
    <w:p w:rsidR="00A24941" w:rsidRDefault="00A24941" w:rsidP="00A24941">
      <w:pPr>
        <w:spacing w:after="0" w:line="360" w:lineRule="auto"/>
        <w:rPr>
          <w:rFonts w:ascii="Arial" w:hAnsi="Arial" w:cs="Arial"/>
          <w:b/>
        </w:rPr>
      </w:pPr>
      <w:r w:rsidRPr="009D1687">
        <w:rPr>
          <w:rFonts w:ascii="Arial" w:hAnsi="Arial" w:cs="Arial"/>
          <w:b/>
        </w:rPr>
        <w:lastRenderedPageBreak/>
        <w:t>INTRODUCCIÓN</w:t>
      </w:r>
    </w:p>
    <w:p w:rsidR="00AB06A4" w:rsidRPr="00AB06A4" w:rsidRDefault="00AB06A4" w:rsidP="00A24941">
      <w:pPr>
        <w:spacing w:after="0" w:line="360" w:lineRule="auto"/>
        <w:rPr>
          <w:rFonts w:ascii="Arial" w:hAnsi="Arial" w:cs="Arial"/>
        </w:rPr>
      </w:pPr>
    </w:p>
    <w:p w:rsidR="00A24941" w:rsidRDefault="00A24941" w:rsidP="00AB06A4">
      <w:pPr>
        <w:spacing w:after="240"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A24941" w:rsidRDefault="00A24941" w:rsidP="00AB06A4">
      <w:pPr>
        <w:spacing w:after="240"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A24941" w:rsidRDefault="00A24941" w:rsidP="00AB06A4">
      <w:pPr>
        <w:spacing w:after="240"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A24941" w:rsidRDefault="00A24941" w:rsidP="00AB06A4">
      <w:pPr>
        <w:spacing w:after="240"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A24941" w:rsidRDefault="00A24941" w:rsidP="00A24941">
      <w:pPr>
        <w:rPr>
          <w:rFonts w:ascii="Arial" w:hAnsi="Arial" w:cs="Arial"/>
        </w:rPr>
      </w:pPr>
      <w:r>
        <w:rPr>
          <w:rFonts w:ascii="Arial" w:hAnsi="Arial" w:cs="Arial"/>
        </w:rPr>
        <w:br w:type="page"/>
      </w:r>
    </w:p>
    <w:p w:rsidR="00A24941" w:rsidRPr="009D54C0" w:rsidRDefault="00A24941" w:rsidP="00A24941">
      <w:pPr>
        <w:spacing w:line="360" w:lineRule="auto"/>
        <w:rPr>
          <w:rFonts w:ascii="Arial" w:hAnsi="Arial" w:cs="Arial"/>
          <w:b/>
        </w:rPr>
      </w:pPr>
      <w:r>
        <w:rPr>
          <w:rFonts w:ascii="Arial" w:hAnsi="Arial" w:cs="Arial"/>
          <w:b/>
        </w:rPr>
        <w:lastRenderedPageBreak/>
        <w:t>I. FACULTAD MEXICANA DE MEDICINA</w:t>
      </w:r>
      <w:r w:rsidRPr="009D54C0">
        <w:rPr>
          <w:rFonts w:ascii="Arial" w:hAnsi="Arial" w:cs="Arial"/>
          <w:b/>
        </w:rPr>
        <w:t>, UNIVERSIDAD LA SALLE</w:t>
      </w:r>
    </w:p>
    <w:p w:rsidR="00A24941" w:rsidRPr="002D0E04" w:rsidRDefault="00A24941" w:rsidP="00545376">
      <w:pPr>
        <w:tabs>
          <w:tab w:val="left" w:pos="1695"/>
        </w:tabs>
        <w:spacing w:after="0" w:line="360" w:lineRule="auto"/>
        <w:jc w:val="both"/>
        <w:rPr>
          <w:rFonts w:ascii="Arial" w:hAnsi="Arial" w:cs="Arial"/>
          <w:b/>
        </w:rPr>
      </w:pPr>
      <w:r w:rsidRPr="002D0E04">
        <w:rPr>
          <w:rFonts w:ascii="Arial" w:hAnsi="Arial" w:cs="Arial"/>
          <w:b/>
        </w:rPr>
        <w:t>1.1. Enfoque pedagógico</w:t>
      </w:r>
    </w:p>
    <w:p w:rsidR="00A24941" w:rsidRPr="00FD48F7" w:rsidRDefault="00A24941" w:rsidP="00545376">
      <w:pPr>
        <w:tabs>
          <w:tab w:val="left" w:pos="1695"/>
        </w:tabs>
        <w:spacing w:after="24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A24941" w:rsidRDefault="00A24941" w:rsidP="00545376">
      <w:pPr>
        <w:tabs>
          <w:tab w:val="left" w:pos="1695"/>
        </w:tabs>
        <w:spacing w:after="240"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A24941" w:rsidRPr="00E4327A" w:rsidRDefault="00A24941" w:rsidP="00E36EC4">
      <w:pPr>
        <w:spacing w:after="240" w:line="360" w:lineRule="auto"/>
        <w:jc w:val="both"/>
        <w:rPr>
          <w:rFonts w:ascii="Arial" w:hAnsi="Arial" w:cs="Arial"/>
        </w:rPr>
      </w:pPr>
      <w:r w:rsidRPr="00E4327A">
        <w:rPr>
          <w:rFonts w:ascii="Arial" w:hAnsi="Arial" w:cs="Arial"/>
        </w:rPr>
        <w:t xml:space="preserve">Respecto al enfoque pedagógico, este se entiende desde el paradigma </w:t>
      </w:r>
      <w:proofErr w:type="spellStart"/>
      <w:r w:rsidRPr="00E4327A">
        <w:rPr>
          <w:rFonts w:ascii="Arial" w:hAnsi="Arial" w:cs="Arial"/>
        </w:rPr>
        <w:t>sociocognitivo</w:t>
      </w:r>
      <w:proofErr w:type="spellEnd"/>
      <w:r w:rsidRPr="00E4327A">
        <w:rPr>
          <w:rFonts w:ascii="Arial" w:hAnsi="Arial" w:cs="Arial"/>
        </w:rPr>
        <w:t xml:space="preserve">,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A24941" w:rsidRPr="00FD48F7" w:rsidRDefault="00A24941" w:rsidP="00E36EC4">
      <w:pPr>
        <w:tabs>
          <w:tab w:val="left" w:pos="1695"/>
        </w:tabs>
        <w:spacing w:after="240" w:line="360" w:lineRule="auto"/>
        <w:jc w:val="both"/>
        <w:rPr>
          <w:rFonts w:ascii="Arial" w:hAnsi="Arial" w:cs="Arial"/>
        </w:rPr>
      </w:pPr>
      <w:r w:rsidRPr="00E4327A">
        <w:rPr>
          <w:rFonts w:ascii="Arial" w:hAnsi="Arial" w:cs="Arial"/>
        </w:rPr>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A24941" w:rsidRPr="00FD48F7" w:rsidRDefault="00A24941" w:rsidP="00E36EC4">
      <w:pPr>
        <w:tabs>
          <w:tab w:val="left" w:pos="1695"/>
        </w:tabs>
        <w:spacing w:after="24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w:t>
      </w:r>
      <w:r w:rsidRPr="00FD48F7">
        <w:rPr>
          <w:rFonts w:ascii="Arial" w:hAnsi="Arial" w:cs="Arial"/>
        </w:rPr>
        <w:lastRenderedPageBreak/>
        <w:t>profesional y acciones solidarias para contribuir a la mejora en las condiciones de vida de grupos y personas menos favorecidas por las condiciones socioeconómicas.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xml:space="preserve">, además, el desarrollo de múltiples estrategias que fomentan el desempeño académico y, posteriormente, el profesional signado por la </w:t>
      </w:r>
      <w:proofErr w:type="spellStart"/>
      <w:r w:rsidRPr="00FD48F7">
        <w:rPr>
          <w:rFonts w:ascii="Arial" w:hAnsi="Arial" w:cs="Arial"/>
        </w:rPr>
        <w:t>metacognición</w:t>
      </w:r>
      <w:proofErr w:type="spellEnd"/>
      <w:r w:rsidRPr="00FD48F7">
        <w:rPr>
          <w:rFonts w:ascii="Arial" w:hAnsi="Arial" w:cs="Arial"/>
        </w:rPr>
        <w:t xml:space="preserve"> y la autorregulación.</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asociadas con el perfil académico profesional y con el ejercicio del campo laboral, tanto del pregrado como del posgrado, específicamente para las especialidades médicas.</w:t>
      </w:r>
    </w:p>
    <w:p w:rsidR="00A24941" w:rsidRDefault="00A24941" w:rsidP="00E36EC4">
      <w:pPr>
        <w:tabs>
          <w:tab w:val="left" w:pos="1695"/>
        </w:tabs>
        <w:spacing w:after="24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w:t>
      </w:r>
      <w:r w:rsidRPr="00FD48F7">
        <w:rPr>
          <w:rFonts w:ascii="Arial" w:hAnsi="Arial" w:cs="Arial"/>
          <w:color w:val="000000"/>
        </w:rPr>
        <w:lastRenderedPageBreak/>
        <w:t xml:space="preserve">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w:t>
      </w:r>
      <w:proofErr w:type="spellStart"/>
      <w:r w:rsidRPr="00BD052E">
        <w:rPr>
          <w:rFonts w:ascii="Arial" w:hAnsi="Arial" w:cs="Arial"/>
          <w:color w:val="000000"/>
        </w:rPr>
        <w:t>lasallismo</w:t>
      </w:r>
      <w:proofErr w:type="spellEnd"/>
      <w:r w:rsidRPr="00BD052E">
        <w:rPr>
          <w:rFonts w:ascii="Arial" w:hAnsi="Arial" w:cs="Arial"/>
          <w:color w:val="000000"/>
        </w:rPr>
        <w:t>,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w:t>
      </w:r>
      <w:r w:rsidRPr="00BD052E">
        <w:rPr>
          <w:rFonts w:ascii="Arial" w:hAnsi="Arial" w:cs="Arial"/>
          <w:color w:val="000000"/>
        </w:rPr>
        <w:lastRenderedPageBreak/>
        <w:t>asimilación y circulación de los conocimientos científicos, tecnológicos y humanísticos dentro de su recinto y fuera de él para beneficio de la sociedad.</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Intercambio académico.</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Servicio social profesional.</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Pastoral universitaria.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Convenios y acuerdos de colaboración.</w:t>
      </w:r>
    </w:p>
    <w:p w:rsidR="00A24941" w:rsidRPr="00BB522B"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B522B">
        <w:rPr>
          <w:rFonts w:ascii="Arial" w:hAnsi="Arial" w:cs="Arial"/>
          <w:color w:val="000000"/>
        </w:rPr>
        <w:t>Voluntariado.</w:t>
      </w:r>
    </w:p>
    <w:p w:rsidR="00A24941" w:rsidRPr="00BD052E" w:rsidRDefault="00A24941" w:rsidP="00E36EC4">
      <w:pPr>
        <w:tabs>
          <w:tab w:val="left" w:pos="1695"/>
        </w:tabs>
        <w:spacing w:after="24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w:t>
      </w:r>
      <w:r w:rsidRPr="00BD052E">
        <w:rPr>
          <w:rFonts w:ascii="Arial" w:hAnsi="Arial" w:cs="Arial"/>
          <w:color w:val="000000"/>
        </w:rPr>
        <w:lastRenderedPageBreak/>
        <w:t>intercambios pueden efectuarse en agrupamientos diferentes (individuales, grupales, en pequeños equipos) y en modalidades educativas distintas.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grupales</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 xml:space="preserve">e incluyen en ellos funciones de asesoría, de orientación vocacional y </w:t>
      </w:r>
      <w:proofErr w:type="spellStart"/>
      <w:r w:rsidRPr="00BD052E">
        <w:rPr>
          <w:rFonts w:ascii="Arial" w:hAnsi="Arial" w:cs="Arial"/>
          <w:color w:val="000000"/>
        </w:rPr>
        <w:t>profesiográfica</w:t>
      </w:r>
      <w:proofErr w:type="spellEnd"/>
      <w:r>
        <w:rPr>
          <w:rFonts w:ascii="Arial" w:hAnsi="Arial" w:cs="Arial"/>
          <w:color w:val="000000"/>
        </w:rPr>
        <w:t>.</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lastRenderedPageBreak/>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A24941"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931745" w:rsidRPr="005B6CA1" w:rsidRDefault="00A24941" w:rsidP="00E36EC4">
      <w:pPr>
        <w:spacing w:after="240" w:line="360" w:lineRule="auto"/>
        <w:rPr>
          <w:rFonts w:ascii="Arial" w:hAnsi="Arial" w:cs="Arial"/>
          <w:b/>
        </w:rPr>
      </w:pPr>
      <w:r>
        <w:rPr>
          <w:rFonts w:ascii="Arial" w:hAnsi="Arial" w:cs="Arial"/>
          <w:b/>
        </w:rPr>
        <w:t>II</w:t>
      </w:r>
      <w:r w:rsidR="00931745" w:rsidRPr="005B6CA1">
        <w:rPr>
          <w:rFonts w:ascii="Arial" w:hAnsi="Arial" w:cs="Arial"/>
          <w:b/>
        </w:rPr>
        <w:t>. IDENTIFICACIÓN DE NECESIDADES SOCIALES</w:t>
      </w:r>
    </w:p>
    <w:p w:rsidR="00931745" w:rsidRPr="005B6CA1" w:rsidRDefault="00295687" w:rsidP="00414C05">
      <w:pPr>
        <w:spacing w:after="0" w:line="360" w:lineRule="auto"/>
        <w:rPr>
          <w:rFonts w:ascii="Arial" w:hAnsi="Arial" w:cs="Arial"/>
        </w:rPr>
      </w:pPr>
      <w:r>
        <w:rPr>
          <w:rFonts w:ascii="Arial" w:hAnsi="Arial" w:cs="Arial"/>
          <w:b/>
        </w:rPr>
        <w:t>2.</w:t>
      </w:r>
      <w:r w:rsidR="00931745" w:rsidRPr="005B6CA1">
        <w:rPr>
          <w:rFonts w:ascii="Arial" w:hAnsi="Arial" w:cs="Arial"/>
          <w:b/>
        </w:rPr>
        <w:t>1.</w:t>
      </w:r>
      <w:r w:rsidR="00931745" w:rsidRPr="005B6CA1">
        <w:rPr>
          <w:rFonts w:ascii="Arial" w:hAnsi="Arial" w:cs="Arial"/>
        </w:rPr>
        <w:t xml:space="preserve"> </w:t>
      </w:r>
      <w:r w:rsidR="00893C69" w:rsidRPr="005B6CA1">
        <w:rPr>
          <w:rFonts w:ascii="Arial" w:hAnsi="Arial" w:cs="Arial"/>
          <w:b/>
        </w:rPr>
        <w:t>Perfil Demográfico</w:t>
      </w:r>
    </w:p>
    <w:p w:rsidR="00931745" w:rsidRPr="005B6CA1" w:rsidRDefault="00931745" w:rsidP="00DD00EF">
      <w:pPr>
        <w:spacing w:after="240" w:line="360" w:lineRule="auto"/>
        <w:jc w:val="both"/>
        <w:rPr>
          <w:rFonts w:ascii="Arial" w:hAnsi="Arial" w:cs="Arial"/>
        </w:rPr>
      </w:pPr>
      <w:r w:rsidRPr="005B6CA1">
        <w:rPr>
          <w:rFonts w:ascii="Arial" w:hAnsi="Arial" w:cs="Arial"/>
        </w:rPr>
        <w:t xml:space="preserve">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w:t>
      </w:r>
      <w:r w:rsidRPr="005B6CA1">
        <w:rPr>
          <w:rFonts w:ascii="Arial" w:hAnsi="Arial" w:cs="Arial"/>
        </w:rPr>
        <w:lastRenderedPageBreak/>
        <w:t>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rsidR="00931745" w:rsidRPr="005B6CA1" w:rsidRDefault="00931745" w:rsidP="00DD00EF">
      <w:pPr>
        <w:spacing w:after="240"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rsidR="00931745" w:rsidRPr="005B6CA1" w:rsidRDefault="00931745" w:rsidP="00E36EC4">
      <w:pPr>
        <w:spacing w:after="240" w:line="360" w:lineRule="auto"/>
        <w:jc w:val="both"/>
        <w:rPr>
          <w:rFonts w:ascii="Arial" w:hAnsi="Arial" w:cs="Arial"/>
        </w:rPr>
      </w:pPr>
      <w:r w:rsidRPr="005B6CA1">
        <w:rPr>
          <w:rFonts w:ascii="Arial" w:hAnsi="Arial" w:cs="Arial"/>
        </w:rPr>
        <w:t>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5B6CA1">
        <w:rPr>
          <w:rStyle w:val="Refdenotaalpie"/>
          <w:rFonts w:ascii="Arial" w:hAnsi="Arial" w:cs="Arial"/>
        </w:rPr>
        <w:footnoteReference w:id="8"/>
      </w:r>
      <w:r w:rsidRPr="005B6CA1">
        <w:rPr>
          <w:rFonts w:ascii="Arial" w:hAnsi="Arial" w:cs="Arial"/>
        </w:rPr>
        <w:t xml:space="preserve">. Por ejemplo, para el año 2019, la entidad con mayor volumen poblacional es el Estado de México con 17.2 millones de habitantes, en cambio, </w:t>
      </w:r>
      <w:r w:rsidRPr="005B6CA1">
        <w:rPr>
          <w:rFonts w:ascii="Arial" w:hAnsi="Arial" w:cs="Arial"/>
        </w:rPr>
        <w:lastRenderedPageBreak/>
        <w:t>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9"/>
      </w:r>
      <w:r w:rsidRPr="005B6CA1">
        <w:rPr>
          <w:rFonts w:ascii="Arial" w:hAnsi="Arial" w:cs="Arial"/>
        </w:rPr>
        <w:t>.</w:t>
      </w:r>
    </w:p>
    <w:p w:rsidR="00931745" w:rsidRPr="00526E8D" w:rsidRDefault="00931745" w:rsidP="00931745">
      <w:pPr>
        <w:spacing w:line="360" w:lineRule="auto"/>
        <w:jc w:val="center"/>
        <w:rPr>
          <w:rFonts w:ascii="Arial" w:hAnsi="Arial" w:cs="Arial"/>
          <w:b/>
        </w:rPr>
      </w:pPr>
      <w:r w:rsidRPr="00526E8D">
        <w:rPr>
          <w:rFonts w:ascii="Arial" w:hAnsi="Arial" w:cs="Arial"/>
          <w:b/>
        </w:rPr>
        <w:t>Gráfica 1. Estructura etaria en México, 2019 y 2050.</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19DBD8A1" wp14:editId="22124E24">
            <wp:extent cx="4572000" cy="2736000"/>
            <wp:effectExtent l="0" t="0" r="0" b="762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31745" w:rsidRPr="009762E7" w:rsidRDefault="00931745" w:rsidP="00FF6B6A">
      <w:pPr>
        <w:spacing w:after="0" w:line="240" w:lineRule="auto"/>
        <w:ind w:left="708" w:firstLine="708"/>
        <w:jc w:val="both"/>
        <w:rPr>
          <w:rFonts w:ascii="Arial" w:hAnsi="Arial" w:cs="Arial"/>
          <w:sz w:val="20"/>
        </w:rPr>
      </w:pPr>
      <w:r w:rsidRPr="009762E7">
        <w:rPr>
          <w:rFonts w:ascii="Arial" w:hAnsi="Arial" w:cs="Arial"/>
          <w:b/>
          <w:sz w:val="18"/>
        </w:rPr>
        <w:t>Fuente:</w:t>
      </w:r>
      <w:r w:rsidRPr="009762E7">
        <w:rPr>
          <w:rFonts w:ascii="Arial" w:hAnsi="Arial" w:cs="Arial"/>
          <w:sz w:val="18"/>
        </w:rPr>
        <w:t xml:space="preserve"> Elaboración propia con base en CONAPO (2018).</w:t>
      </w:r>
      <w:r w:rsidRPr="009762E7">
        <w:rPr>
          <w:rFonts w:ascii="Arial" w:hAnsi="Arial" w:cs="Arial"/>
          <w:sz w:val="20"/>
        </w:rPr>
        <w:t xml:space="preserve"> </w:t>
      </w:r>
    </w:p>
    <w:p w:rsidR="00E36EC4" w:rsidRDefault="00E36EC4" w:rsidP="00931745">
      <w:pPr>
        <w:spacing w:line="360" w:lineRule="auto"/>
        <w:jc w:val="both"/>
        <w:rPr>
          <w:rFonts w:ascii="Arial" w:hAnsi="Arial" w:cs="Arial"/>
        </w:rPr>
      </w:pPr>
    </w:p>
    <w:p w:rsidR="00931745" w:rsidRPr="005B6CA1" w:rsidRDefault="00931745" w:rsidP="0093174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Al respecto, la Zona Metropolitana de la Ciudad de México (ZMCM) merece especial atención ya que, además de ser el corazón político y económico de una vasta región</w:t>
      </w:r>
      <w:r w:rsidR="00FF6B6A">
        <w:rPr>
          <w:rFonts w:ascii="Arial" w:hAnsi="Arial" w:cs="Arial"/>
        </w:rPr>
        <w:t>-</w:t>
      </w:r>
      <w:r w:rsidRPr="005B6CA1">
        <w:rPr>
          <w:rFonts w:ascii="Arial" w:hAnsi="Arial" w:cs="Arial"/>
        </w:rPr>
        <w:t>país, se ha consolidado como la principal urbe del país (y una de las más pobladas del planeta). Además, la ZMCM constituye una importante área de influencia directa de la Universidad La Salle.</w:t>
      </w:r>
    </w:p>
    <w:p w:rsidR="00931745" w:rsidRDefault="00931745" w:rsidP="00931745">
      <w:pPr>
        <w:spacing w:line="360" w:lineRule="auto"/>
        <w:jc w:val="both"/>
        <w:rPr>
          <w:rFonts w:ascii="Arial" w:hAnsi="Arial" w:cs="Arial"/>
        </w:rPr>
      </w:pPr>
      <w:r w:rsidRPr="005B6CA1">
        <w:rPr>
          <w:rFonts w:ascii="Arial" w:hAnsi="Arial" w:cs="Arial"/>
        </w:rPr>
        <w:lastRenderedPageBreak/>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rsidR="00931745" w:rsidRPr="005B6CA1" w:rsidRDefault="00931745" w:rsidP="0093174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334C70A7" wp14:editId="168A8BA4">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31745" w:rsidRPr="005B6CA1" w:rsidRDefault="00931745" w:rsidP="00FF6B6A">
      <w:pPr>
        <w:spacing w:after="0" w:line="360" w:lineRule="auto"/>
        <w:ind w:left="708" w:firstLine="708"/>
        <w:jc w:val="both"/>
        <w:rPr>
          <w:rFonts w:ascii="Arial" w:hAnsi="Arial" w:cs="Arial"/>
        </w:rPr>
      </w:pPr>
      <w:r w:rsidRPr="009762E7">
        <w:rPr>
          <w:rFonts w:ascii="Arial" w:hAnsi="Arial" w:cs="Arial"/>
          <w:b/>
          <w:sz w:val="18"/>
        </w:rPr>
        <w:t>Fuente:</w:t>
      </w:r>
      <w:r w:rsidRPr="009762E7">
        <w:rPr>
          <w:rFonts w:ascii="Arial" w:hAnsi="Arial" w:cs="Arial"/>
          <w:sz w:val="18"/>
        </w:rPr>
        <w:t xml:space="preserve"> Elaboración propia con base en INEGI (2016).</w:t>
      </w:r>
      <w:r w:rsidRPr="009762E7">
        <w:rPr>
          <w:rFonts w:ascii="Arial" w:hAnsi="Arial" w:cs="Arial"/>
          <w:sz w:val="20"/>
        </w:rPr>
        <w:t xml:space="preserve"> </w:t>
      </w:r>
    </w:p>
    <w:p w:rsidR="00FF6B6A" w:rsidRDefault="00FF6B6A" w:rsidP="00FF6B6A">
      <w:pPr>
        <w:spacing w:after="0" w:line="360" w:lineRule="auto"/>
        <w:jc w:val="both"/>
        <w:rPr>
          <w:rFonts w:ascii="Arial" w:hAnsi="Arial" w:cs="Arial"/>
        </w:rPr>
      </w:pPr>
    </w:p>
    <w:p w:rsidR="00931745" w:rsidRDefault="00931745" w:rsidP="00FF6B6A">
      <w:pPr>
        <w:spacing w:after="0" w:line="360" w:lineRule="auto"/>
        <w:jc w:val="both"/>
        <w:rPr>
          <w:rFonts w:ascii="Arial" w:hAnsi="Arial" w:cs="Arial"/>
        </w:rPr>
      </w:pPr>
      <w:r w:rsidRPr="005B6CA1">
        <w:rPr>
          <w:rFonts w:ascii="Arial" w:hAnsi="Arial" w:cs="Arial"/>
        </w:rPr>
        <w:t xml:space="preserve">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w:t>
      </w:r>
      <w:r w:rsidRPr="005B6CA1">
        <w:rPr>
          <w:rFonts w:ascii="Arial" w:hAnsi="Arial" w:cs="Arial"/>
        </w:rPr>
        <w:lastRenderedPageBreak/>
        <w:t>salud</w:t>
      </w:r>
      <w:r w:rsidRPr="005B6CA1">
        <w:rPr>
          <w:rStyle w:val="Refdenotaalpie"/>
          <w:rFonts w:ascii="Arial" w:hAnsi="Arial" w:cs="Arial"/>
        </w:rPr>
        <w:footnoteReference w:id="12"/>
      </w:r>
      <w:r w:rsidRPr="005B6CA1">
        <w:rPr>
          <w:rFonts w:ascii="Arial" w:hAnsi="Arial" w:cs="Arial"/>
        </w:rPr>
        <w:t xml:space="preserve">. El proceso de </w:t>
      </w:r>
      <w:proofErr w:type="spellStart"/>
      <w:r w:rsidRPr="005B6CA1">
        <w:rPr>
          <w:rFonts w:ascii="Arial" w:hAnsi="Arial" w:cs="Arial"/>
        </w:rPr>
        <w:t>metropolización</w:t>
      </w:r>
      <w:proofErr w:type="spellEnd"/>
      <w:r w:rsidRPr="005B6CA1">
        <w:rPr>
          <w:rFonts w:ascii="Arial" w:hAnsi="Arial" w:cs="Arial"/>
        </w:rPr>
        <w:t xml:space="preserve"> ha incorporado unidades político-administrativas adyacentes como resultado de mecanismos expulsores generados por la propia dinámica económica y social de la ciudad central. Muestra de ello es que el proceso de envejecimiento se revela un</w:t>
      </w:r>
      <w:r w:rsidR="00613B49">
        <w:rPr>
          <w:rFonts w:ascii="Arial" w:hAnsi="Arial" w:cs="Arial"/>
        </w:rPr>
        <w:t xml:space="preserve">a estructura </w:t>
      </w:r>
      <w:proofErr w:type="spellStart"/>
      <w:r w:rsidR="00613B49">
        <w:rPr>
          <w:rFonts w:ascii="Arial" w:hAnsi="Arial" w:cs="Arial"/>
        </w:rPr>
        <w:t>monocéntrica</w:t>
      </w:r>
      <w:proofErr w:type="spellEnd"/>
      <w:r w:rsidR="00613B49">
        <w:rPr>
          <w:rFonts w:ascii="Arial" w:hAnsi="Arial" w:cs="Arial"/>
        </w:rPr>
        <w:t xml:space="preserve"> (</w:t>
      </w:r>
      <w:r w:rsidRPr="005B6CA1">
        <w:rPr>
          <w:rFonts w:ascii="Arial" w:hAnsi="Arial" w:cs="Arial"/>
        </w:rPr>
        <w:t xml:space="preserve">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FF6B6A" w:rsidRDefault="00FF6B6A" w:rsidP="00FF6B6A">
      <w:pPr>
        <w:spacing w:after="0" w:line="360" w:lineRule="auto"/>
        <w:jc w:val="both"/>
        <w:rPr>
          <w:rFonts w:ascii="Arial" w:hAnsi="Arial" w:cs="Arial"/>
        </w:rPr>
      </w:pPr>
    </w:p>
    <w:p w:rsidR="00931745" w:rsidRPr="005B6CA1" w:rsidRDefault="00931745" w:rsidP="00FF6B6A">
      <w:pPr>
        <w:spacing w:after="0" w:line="24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5C1BC54E" wp14:editId="306D1A0D">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931745" w:rsidRPr="009762E7" w:rsidRDefault="00931745" w:rsidP="00FF6B6A">
      <w:pPr>
        <w:spacing w:after="0" w:line="240" w:lineRule="auto"/>
        <w:ind w:left="1416"/>
        <w:jc w:val="both"/>
        <w:rPr>
          <w:rFonts w:ascii="Arial" w:hAnsi="Arial" w:cs="Arial"/>
          <w:sz w:val="18"/>
        </w:rPr>
      </w:pPr>
      <w:r w:rsidRPr="009762E7">
        <w:rPr>
          <w:rFonts w:ascii="Arial" w:hAnsi="Arial" w:cs="Arial"/>
          <w:b/>
          <w:sz w:val="18"/>
        </w:rPr>
        <w:t>Fuente:</w:t>
      </w:r>
      <w:r w:rsidRPr="009762E7">
        <w:rPr>
          <w:rFonts w:ascii="Arial" w:hAnsi="Arial" w:cs="Arial"/>
          <w:sz w:val="18"/>
        </w:rPr>
        <w:t xml:space="preserve"> Elaboración propia con base en </w:t>
      </w:r>
      <w:r>
        <w:rPr>
          <w:rFonts w:ascii="Arial" w:hAnsi="Arial" w:cs="Arial"/>
          <w:sz w:val="18"/>
        </w:rPr>
        <w:t>INEGI (2016</w:t>
      </w:r>
      <w:r w:rsidRPr="009762E7">
        <w:rPr>
          <w:rFonts w:ascii="Arial" w:hAnsi="Arial" w:cs="Arial"/>
          <w:sz w:val="18"/>
        </w:rPr>
        <w:t>).</w:t>
      </w:r>
    </w:p>
    <w:p w:rsidR="00FF6B6A" w:rsidRDefault="00FF6B6A" w:rsidP="00295687">
      <w:pPr>
        <w:spacing w:after="240" w:line="360" w:lineRule="auto"/>
        <w:jc w:val="both"/>
        <w:rPr>
          <w:rFonts w:ascii="Arial" w:hAnsi="Arial" w:cs="Arial"/>
        </w:rPr>
      </w:pPr>
    </w:p>
    <w:p w:rsidR="00931745" w:rsidRPr="005B6CA1" w:rsidRDefault="00931745" w:rsidP="00295687">
      <w:pPr>
        <w:spacing w:after="240"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xml:space="preserve">. La transición demográfica, junto con la epidemiológica, han llevado a una rápida tendencia hacia el envejecimiento poblacional del país y de la ZMCM, acompañado </w:t>
      </w:r>
      <w:r w:rsidRPr="005B6CA1">
        <w:rPr>
          <w:rFonts w:ascii="Arial" w:hAnsi="Arial" w:cs="Arial"/>
        </w:rPr>
        <w:lastRenderedPageBreak/>
        <w:t>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931745" w:rsidRDefault="00931745" w:rsidP="0032506D">
      <w:pPr>
        <w:spacing w:after="240"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931745" w:rsidRPr="005B6CA1" w:rsidRDefault="00295687" w:rsidP="00FC7B12">
      <w:pPr>
        <w:spacing w:after="0" w:line="360" w:lineRule="auto"/>
        <w:rPr>
          <w:rFonts w:ascii="Arial" w:hAnsi="Arial" w:cs="Arial"/>
        </w:rPr>
      </w:pPr>
      <w:r>
        <w:rPr>
          <w:rFonts w:ascii="Arial" w:hAnsi="Arial" w:cs="Arial"/>
          <w:b/>
        </w:rPr>
        <w:t>2.</w:t>
      </w:r>
      <w:r w:rsidR="00931745">
        <w:rPr>
          <w:rFonts w:ascii="Arial" w:hAnsi="Arial" w:cs="Arial"/>
          <w:b/>
        </w:rPr>
        <w:t>2</w:t>
      </w:r>
      <w:r w:rsidR="00931745" w:rsidRPr="005B6CA1">
        <w:rPr>
          <w:rFonts w:ascii="Arial" w:hAnsi="Arial" w:cs="Arial"/>
          <w:b/>
        </w:rPr>
        <w:t>.</w:t>
      </w:r>
      <w:r w:rsidR="00931745" w:rsidRPr="005B6CA1">
        <w:rPr>
          <w:rFonts w:ascii="Arial" w:hAnsi="Arial" w:cs="Arial"/>
        </w:rPr>
        <w:t xml:space="preserve"> </w:t>
      </w:r>
      <w:r w:rsidR="00E34AC6" w:rsidRPr="005B6CA1">
        <w:rPr>
          <w:rFonts w:ascii="Arial" w:hAnsi="Arial" w:cs="Arial"/>
          <w:b/>
        </w:rPr>
        <w:t xml:space="preserve">Perfil </w:t>
      </w:r>
      <w:r w:rsidR="00E34AC6">
        <w:rPr>
          <w:rFonts w:ascii="Arial" w:hAnsi="Arial" w:cs="Arial"/>
          <w:b/>
        </w:rPr>
        <w:t xml:space="preserve">en Salud </w:t>
      </w:r>
    </w:p>
    <w:p w:rsidR="00931745" w:rsidRPr="005B6CA1" w:rsidRDefault="00931745" w:rsidP="00FC7B12">
      <w:pPr>
        <w:spacing w:after="240"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rsidR="00931745" w:rsidRPr="005B6CA1" w:rsidRDefault="00931745" w:rsidP="00FC7B12">
      <w:pPr>
        <w:spacing w:after="240" w:line="360" w:lineRule="auto"/>
        <w:jc w:val="both"/>
        <w:rPr>
          <w:rFonts w:ascii="Arial" w:hAnsi="Arial" w:cs="Arial"/>
        </w:rPr>
      </w:pPr>
      <w:r w:rsidRPr="005B6CA1">
        <w:rPr>
          <w:rFonts w:ascii="Arial" w:hAnsi="Arial" w:cs="Arial"/>
        </w:rPr>
        <w:t xml:space="preserve">El proceso dinámico en el cual los patrones de salud y enfermedad, así como la respuesta social organizada a dichas </w:t>
      </w:r>
      <w:proofErr w:type="gramStart"/>
      <w:r w:rsidRPr="005B6CA1">
        <w:rPr>
          <w:rFonts w:ascii="Arial" w:hAnsi="Arial" w:cs="Arial"/>
        </w:rPr>
        <w:t>condiciones,  se</w:t>
      </w:r>
      <w:proofErr w:type="gramEnd"/>
      <w:r w:rsidRPr="005B6CA1">
        <w:rPr>
          <w:rFonts w:ascii="Arial" w:hAnsi="Arial" w:cs="Arial"/>
        </w:rPr>
        <w:t xml:space="preserve"> han ido transformando en respuesta a cambios más amplios de índole demográfica, socioeconómica, tecnológica, política, cultural y biológica, se le considera como la transición en salud. Este último concepto está integrado </w:t>
      </w:r>
      <w:r w:rsidRPr="005B6CA1">
        <w:rPr>
          <w:rFonts w:ascii="Arial" w:hAnsi="Arial" w:cs="Arial"/>
        </w:rPr>
        <w:lastRenderedPageBreak/>
        <w:t>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rsidR="00931745" w:rsidRPr="005B6CA1" w:rsidRDefault="00931745" w:rsidP="00FC7B12">
      <w:pPr>
        <w:spacing w:after="0" w:line="360" w:lineRule="auto"/>
        <w:rPr>
          <w:rFonts w:ascii="Arial" w:hAnsi="Arial" w:cs="Arial"/>
        </w:rPr>
      </w:pPr>
      <w:r>
        <w:rPr>
          <w:rFonts w:ascii="Arial" w:hAnsi="Arial" w:cs="Arial"/>
          <w:b/>
        </w:rPr>
        <w:t>2</w:t>
      </w:r>
      <w:r w:rsidRPr="005B6CA1">
        <w:rPr>
          <w:rFonts w:ascii="Arial" w:hAnsi="Arial" w:cs="Arial"/>
          <w:b/>
        </w:rPr>
        <w:t>.</w:t>
      </w:r>
      <w:r w:rsidR="00295687">
        <w:rPr>
          <w:rFonts w:ascii="Arial" w:hAnsi="Arial" w:cs="Arial"/>
          <w:b/>
        </w:rPr>
        <w:t>3</w:t>
      </w:r>
      <w:r w:rsidRPr="005B6CA1">
        <w:rPr>
          <w:rFonts w:ascii="Arial" w:hAnsi="Arial" w:cs="Arial"/>
        </w:rPr>
        <w:t xml:space="preserve"> </w:t>
      </w:r>
      <w:r w:rsidR="00E34AC6">
        <w:rPr>
          <w:rFonts w:ascii="Arial" w:hAnsi="Arial" w:cs="Arial"/>
          <w:b/>
        </w:rPr>
        <w:t>Morbilidad</w:t>
      </w:r>
    </w:p>
    <w:p w:rsidR="00931745" w:rsidRPr="005B6CA1" w:rsidRDefault="00931745" w:rsidP="0032506D">
      <w:pPr>
        <w:spacing w:after="240"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w:t>
      </w:r>
      <w:proofErr w:type="spellStart"/>
      <w:r w:rsidRPr="005B6CA1">
        <w:rPr>
          <w:rFonts w:ascii="Arial" w:hAnsi="Arial" w:cs="Arial"/>
        </w:rPr>
        <w:t>Frenk</w:t>
      </w:r>
      <w:proofErr w:type="spellEnd"/>
      <w:r w:rsidRPr="005B6CA1">
        <w:rPr>
          <w:rFonts w:ascii="Arial" w:hAnsi="Arial" w:cs="Arial"/>
        </w:rPr>
        <w:t xml:space="preserve"> </w:t>
      </w:r>
      <w:r w:rsidRPr="005B6CA1">
        <w:rPr>
          <w:rFonts w:ascii="Arial" w:hAnsi="Arial" w:cs="Arial"/>
          <w:i/>
        </w:rPr>
        <w:t>et al</w:t>
      </w:r>
      <w:r w:rsidRPr="005B6CA1">
        <w:rPr>
          <w:rFonts w:ascii="Arial" w:hAnsi="Arial" w:cs="Arial"/>
        </w:rPr>
        <w:t xml:space="preserve"> señala:</w:t>
      </w:r>
    </w:p>
    <w:p w:rsidR="00931745" w:rsidRPr="005B6CA1" w:rsidRDefault="00931745" w:rsidP="0032506D">
      <w:pPr>
        <w:spacing w:after="240"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rsidR="00931745" w:rsidRPr="005B6CA1" w:rsidRDefault="00931745" w:rsidP="0032506D">
      <w:pPr>
        <w:spacing w:after="240"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w:t>
      </w:r>
      <w:r w:rsidRPr="005B6CA1">
        <w:rPr>
          <w:rFonts w:ascii="Arial" w:hAnsi="Arial" w:cs="Arial"/>
        </w:rPr>
        <w:lastRenderedPageBreak/>
        <w:t>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rsidR="00931745" w:rsidRPr="00B418B4" w:rsidRDefault="00931745" w:rsidP="0093174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rsidR="00931745" w:rsidRDefault="00931745" w:rsidP="00FF6B6A">
      <w:pPr>
        <w:spacing w:after="0" w:line="240" w:lineRule="auto"/>
        <w:jc w:val="center"/>
        <w:rPr>
          <w:rFonts w:ascii="Arial" w:hAnsi="Arial" w:cs="Arial"/>
        </w:rPr>
      </w:pPr>
      <w:r>
        <w:rPr>
          <w:noProof/>
          <w:lang w:eastAsia="es-MX"/>
        </w:rPr>
        <w:drawing>
          <wp:inline distT="0" distB="0" distL="0" distR="0" wp14:anchorId="648D40F5" wp14:editId="1A01E7D9">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31745" w:rsidRPr="003D1C94" w:rsidRDefault="00931745" w:rsidP="00FF6B6A">
      <w:pPr>
        <w:spacing w:after="0" w:line="24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FF6B6A" w:rsidRDefault="00FF6B6A" w:rsidP="00FC7B12">
      <w:pPr>
        <w:spacing w:after="240" w:line="360" w:lineRule="auto"/>
        <w:jc w:val="both"/>
        <w:rPr>
          <w:rFonts w:ascii="Arial" w:hAnsi="Arial" w:cs="Arial"/>
        </w:rPr>
      </w:pPr>
    </w:p>
    <w:p w:rsidR="00931745" w:rsidRDefault="00931745" w:rsidP="00FC7B12">
      <w:pPr>
        <w:spacing w:after="240"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w:t>
      </w:r>
      <w:r>
        <w:rPr>
          <w:rFonts w:ascii="Arial" w:hAnsi="Arial" w:cs="Arial"/>
        </w:rPr>
        <w:lastRenderedPageBreak/>
        <w:t>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FF6B6A">
        <w:rPr>
          <w:rFonts w:ascii="Arial" w:hAnsi="Arial" w:cs="Arial"/>
        </w:rPr>
        <w:t>al alza</w:t>
      </w:r>
      <w:r>
        <w:rPr>
          <w:rFonts w:ascii="Arial" w:hAnsi="Arial" w:cs="Arial"/>
        </w:rPr>
        <w:t xml:space="preserve">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rsidR="00FC7B12" w:rsidRDefault="00931745" w:rsidP="00FC7B12">
      <w:pPr>
        <w:spacing w:after="240" w:line="360" w:lineRule="auto"/>
        <w:jc w:val="both"/>
        <w:rPr>
          <w:rFonts w:ascii="Arial" w:hAnsi="Arial" w:cs="Arial"/>
        </w:rPr>
      </w:pPr>
      <w:r>
        <w:rPr>
          <w:rFonts w:ascii="Arial" w:hAnsi="Arial" w:cs="Arial"/>
        </w:rPr>
        <w:t xml:space="preserve">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w:t>
      </w:r>
      <w:proofErr w:type="gramStart"/>
      <w:r>
        <w:rPr>
          <w:rFonts w:ascii="Arial" w:hAnsi="Arial" w:cs="Arial"/>
        </w:rPr>
        <w:t>a la alza</w:t>
      </w:r>
      <w:proofErr w:type="gramEnd"/>
      <w:r>
        <w:rPr>
          <w:rFonts w:ascii="Arial" w:hAnsi="Arial" w:cs="Arial"/>
        </w:rPr>
        <w:t xml:space="preserve"> hasta los 64 años, aunque aún está presente en el grupo más envejecido; en hombres, la tasa más alta por diabetes se reporta en el grupo etario de 64-65 años (125.1 casos), asimismo en mujeres pero con mayores niveles (139.8). Finalmente, la hipertensión arterial es otro padecimiento que toma relevancia en la población adulta, e igualmente, con una tendencia al alza conforme la población envejece</w:t>
      </w:r>
      <w:r>
        <w:rPr>
          <w:rStyle w:val="Refdenotaalpie"/>
          <w:rFonts w:ascii="Arial" w:hAnsi="Arial" w:cs="Arial"/>
        </w:rPr>
        <w:footnoteReference w:id="23"/>
      </w:r>
      <w:r w:rsidR="00FC7B12">
        <w:rPr>
          <w:rFonts w:ascii="Arial" w:hAnsi="Arial" w:cs="Arial"/>
        </w:rPr>
        <w:t>.</w:t>
      </w:r>
    </w:p>
    <w:p w:rsidR="00FC7B12" w:rsidRDefault="00FC7B12">
      <w:pPr>
        <w:rPr>
          <w:rFonts w:ascii="Arial" w:hAnsi="Arial" w:cs="Arial"/>
        </w:rPr>
      </w:pPr>
      <w:r>
        <w:rPr>
          <w:rFonts w:ascii="Arial" w:hAnsi="Arial" w:cs="Arial"/>
        </w:rPr>
        <w:br w:type="page"/>
      </w:r>
    </w:p>
    <w:p w:rsidR="00FC7B12" w:rsidRDefault="00FC7B12"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56283870" wp14:editId="6009FAE6">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9C2DF8" w:rsidRDefault="009C2DF8" w:rsidP="00931745">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79EB3E11" wp14:editId="50B8FD53">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C2DF8">
      <w:pPr>
        <w:spacing w:after="0" w:line="360" w:lineRule="auto"/>
        <w:rPr>
          <w:rFonts w:ascii="Arial" w:hAnsi="Arial" w:cs="Arial"/>
          <w:b/>
        </w:rPr>
      </w:pPr>
    </w:p>
    <w:p w:rsidR="00931745" w:rsidRDefault="00931745"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3DB2966" wp14:editId="69D01C7F">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FE22A4C" wp14:editId="527D909B">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5B6CA1" w:rsidRDefault="00931745" w:rsidP="0032506D">
      <w:pPr>
        <w:spacing w:after="240" w:line="360" w:lineRule="auto"/>
        <w:jc w:val="both"/>
        <w:rPr>
          <w:rFonts w:ascii="Arial" w:hAnsi="Arial" w:cs="Arial"/>
        </w:rPr>
      </w:pPr>
      <w:r w:rsidRPr="005B6CA1">
        <w:rPr>
          <w:rFonts w:ascii="Arial" w:hAnsi="Arial" w:cs="Arial"/>
        </w:rPr>
        <w:lastRenderedPageBreak/>
        <w:t xml:space="preserve">A partir de lo anterior, se puede afirmar que en México el perfil de salud de la población se caracteriza por el predominio de enfermedades crónicas no transmisibles, las cuales se caracterizan por ser prolongadas, </w:t>
      </w:r>
      <w:proofErr w:type="spellStart"/>
      <w:r w:rsidRPr="005B6CA1">
        <w:rPr>
          <w:rFonts w:ascii="Arial" w:hAnsi="Arial" w:cs="Arial"/>
        </w:rPr>
        <w:t>discapacitantes</w:t>
      </w:r>
      <w:proofErr w:type="spellEnd"/>
      <w:r w:rsidRPr="005B6CA1">
        <w:rPr>
          <w:rFonts w:ascii="Arial" w:hAnsi="Arial" w:cs="Arial"/>
        </w:rPr>
        <w:t xml:space="preserve">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rsidR="00931745" w:rsidRPr="005B6CA1" w:rsidRDefault="00931745" w:rsidP="0032506D">
      <w:pPr>
        <w:spacing w:after="240"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rsidR="00931745" w:rsidRDefault="00931745" w:rsidP="0032506D">
      <w:pPr>
        <w:spacing w:after="240"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5B6CA1">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w:t>
      </w:r>
      <w:r w:rsidR="00FF6B6A"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931745" w:rsidRPr="005968A3" w:rsidRDefault="00931745" w:rsidP="0093174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931745" w:rsidRPr="005B6CA1" w:rsidTr="00E2796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931745" w:rsidRPr="005B6CA1" w:rsidRDefault="00931745" w:rsidP="00E27960">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isquémica del corazón</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isquémica del corazón</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Inf</w:t>
            </w:r>
            <w:proofErr w:type="spellEnd"/>
            <w:r w:rsidRPr="005B6CA1">
              <w:rPr>
                <w:rFonts w:ascii="Arial" w:eastAsia="Times New Roman" w:hAnsi="Arial" w:cs="Arial"/>
                <w:color w:val="000000"/>
                <w:sz w:val="18"/>
                <w:lang w:eastAsia="es-MX"/>
              </w:rPr>
              <w:t>.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Cerebrovascular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Inf</w:t>
            </w:r>
            <w:proofErr w:type="spellEnd"/>
            <w:r w:rsidRPr="005B6CA1">
              <w:rPr>
                <w:rFonts w:ascii="Arial" w:eastAsia="Times New Roman" w:hAnsi="Arial" w:cs="Arial"/>
                <w:color w:val="000000"/>
                <w:sz w:val="18"/>
                <w:lang w:eastAsia="es-MX"/>
              </w:rPr>
              <w:t>.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Prematurez</w:t>
            </w:r>
            <w:proofErr w:type="spellEnd"/>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Prematurez</w:t>
            </w:r>
            <w:proofErr w:type="spellEnd"/>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Cerebrovascular</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Diarreicas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rsidR="00931745" w:rsidRPr="00FD4BFF" w:rsidRDefault="00931745" w:rsidP="009C2DF8">
      <w:pPr>
        <w:spacing w:line="360" w:lineRule="auto"/>
        <w:ind w:firstLine="708"/>
        <w:jc w:val="center"/>
        <w:rPr>
          <w:rFonts w:ascii="Arial" w:hAnsi="Arial" w:cs="Arial"/>
          <w:sz w:val="18"/>
        </w:rPr>
      </w:pPr>
      <w:r w:rsidRPr="00FD4BFF">
        <w:rPr>
          <w:rFonts w:ascii="Arial" w:hAnsi="Arial" w:cs="Arial"/>
          <w:b/>
          <w:sz w:val="18"/>
        </w:rPr>
        <w:t>Fuente:</w:t>
      </w:r>
      <w:r w:rsidRPr="00FD4BFF">
        <w:rPr>
          <w:rFonts w:ascii="Arial" w:hAnsi="Arial" w:cs="Arial"/>
          <w:sz w:val="18"/>
        </w:rPr>
        <w:t xml:space="preserve"> Elaboración propia con base en Lozano </w:t>
      </w:r>
      <w:r w:rsidRPr="00FD4BFF">
        <w:rPr>
          <w:rFonts w:ascii="Arial" w:hAnsi="Arial" w:cs="Arial"/>
          <w:i/>
          <w:sz w:val="18"/>
        </w:rPr>
        <w:t>et al</w:t>
      </w:r>
      <w:r w:rsidRPr="00FD4BFF">
        <w:rPr>
          <w:rFonts w:ascii="Arial" w:hAnsi="Arial" w:cs="Arial"/>
          <w:sz w:val="18"/>
        </w:rPr>
        <w:t xml:space="preserve"> (2013).</w:t>
      </w:r>
    </w:p>
    <w:p w:rsidR="00931745" w:rsidRDefault="00931745" w:rsidP="003C138F">
      <w:pPr>
        <w:spacing w:after="240"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FF6B6A"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931745" w:rsidRDefault="00931745" w:rsidP="007E2B99">
      <w:pPr>
        <w:spacing w:after="0" w:line="360" w:lineRule="auto"/>
        <w:jc w:val="both"/>
        <w:rPr>
          <w:rFonts w:ascii="Arial" w:hAnsi="Arial" w:cs="Arial"/>
          <w:b/>
        </w:rPr>
      </w:pPr>
      <w:r w:rsidRPr="005B6CA1">
        <w:rPr>
          <w:rFonts w:ascii="Arial" w:hAnsi="Arial" w:cs="Arial"/>
          <w:b/>
        </w:rPr>
        <w:t>2.</w:t>
      </w:r>
      <w:r w:rsidR="009C2DF8">
        <w:rPr>
          <w:rFonts w:ascii="Arial" w:hAnsi="Arial" w:cs="Arial"/>
          <w:b/>
        </w:rPr>
        <w:t>4</w:t>
      </w:r>
      <w:r w:rsidRPr="005B6CA1">
        <w:rPr>
          <w:rFonts w:ascii="Arial" w:hAnsi="Arial" w:cs="Arial"/>
          <w:b/>
        </w:rPr>
        <w:t xml:space="preserve"> </w:t>
      </w:r>
      <w:r w:rsidR="00E34AC6">
        <w:rPr>
          <w:rFonts w:ascii="Arial" w:hAnsi="Arial" w:cs="Arial"/>
          <w:b/>
        </w:rPr>
        <w:t>Mortalidad</w:t>
      </w:r>
      <w:r w:rsidR="00E34AC6" w:rsidRPr="005B6CA1">
        <w:rPr>
          <w:rFonts w:ascii="Arial" w:hAnsi="Arial" w:cs="Arial"/>
          <w:b/>
        </w:rPr>
        <w:t xml:space="preserve"> </w:t>
      </w:r>
    </w:p>
    <w:p w:rsidR="00931745" w:rsidRPr="005B6CA1" w:rsidRDefault="00931745" w:rsidP="007E2B99">
      <w:pPr>
        <w:spacing w:after="0"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931745" w:rsidRPr="005B6CA1" w:rsidRDefault="00931745" w:rsidP="009C2DF8">
      <w:pPr>
        <w:spacing w:after="240"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w:t>
      </w:r>
      <w:r w:rsidRPr="005B6CA1">
        <w:rPr>
          <w:rFonts w:ascii="Arial" w:hAnsi="Arial" w:cs="Arial"/>
        </w:rPr>
        <w:lastRenderedPageBreak/>
        <w:t>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rsidR="00931745" w:rsidRPr="005B6CA1" w:rsidRDefault="00931745" w:rsidP="009C2DF8">
      <w:pPr>
        <w:spacing w:after="240"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accidentes de transporte, lesiones </w:t>
      </w:r>
      <w:r w:rsidR="00FF6B6A" w:rsidRPr="005B6CA1">
        <w:rPr>
          <w:rFonts w:ascii="Arial" w:hAnsi="Arial" w:cs="Arial"/>
        </w:rPr>
        <w:t>auto infligidas</w:t>
      </w:r>
      <w:r w:rsidRPr="005B6CA1">
        <w:rPr>
          <w:rFonts w:ascii="Arial" w:hAnsi="Arial" w:cs="Arial"/>
        </w:rPr>
        <w:t xml:space="preserve"> intencionalmente y demás causas externas. Asimismo, en este grupo etario la tendencia de la </w:t>
      </w:r>
      <w:proofErr w:type="spellStart"/>
      <w:r w:rsidRPr="005B6CA1">
        <w:rPr>
          <w:rFonts w:ascii="Arial" w:hAnsi="Arial" w:cs="Arial"/>
        </w:rPr>
        <w:t>sobremortalidad</w:t>
      </w:r>
      <w:proofErr w:type="spellEnd"/>
      <w:r w:rsidRPr="005B6CA1">
        <w:rPr>
          <w:rFonts w:ascii="Arial" w:hAnsi="Arial" w:cs="Arial"/>
        </w:rPr>
        <w:t xml:space="preserve"> masculina se hace aún más evidente; por ejemplo, la primera causa de muerte para esta población son agresiones, pero la tasa de los hombres es 5.53 defunciones por cada 10,000, en cambio, el indicador de</w:t>
      </w:r>
      <w:r w:rsidR="00D862CA">
        <w:rPr>
          <w:rFonts w:ascii="Arial" w:hAnsi="Arial" w:cs="Arial"/>
        </w:rPr>
        <w:t xml:space="preserve"> mujeres es de tan sólo de 0.74</w:t>
      </w:r>
      <w:r w:rsidRPr="005B6CA1">
        <w:rPr>
          <w:rStyle w:val="Refdenotaalpie"/>
          <w:rFonts w:ascii="Arial" w:hAnsi="Arial" w:cs="Arial"/>
        </w:rPr>
        <w:footnoteReference w:id="30"/>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xml:space="preserve">), las ECNT comienzan a tomar importancia en el esquema de la mortalidad de la población mexicana, las cuales se conjugan con las causas externas. Específicamente, los hombres tienen un exceso de mortalidad, y por causas, las agresiones representan la </w:t>
      </w:r>
      <w:r w:rsidR="00FF6B6A" w:rsidRPr="005B6CA1">
        <w:rPr>
          <w:rFonts w:ascii="Arial" w:hAnsi="Arial" w:cs="Arial"/>
        </w:rPr>
        <w:t>primera causa</w:t>
      </w:r>
      <w:r w:rsidRPr="005B6CA1">
        <w:rPr>
          <w:rFonts w:ascii="Arial" w:hAnsi="Arial" w:cs="Arial"/>
        </w:rPr>
        <w:t xml:space="preserve">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5B6CA1">
        <w:rPr>
          <w:rFonts w:ascii="Arial" w:hAnsi="Arial" w:cs="Arial"/>
        </w:rPr>
        <w:lastRenderedPageBreak/>
        <w:t>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rsidR="00931745" w:rsidRPr="005B6CA1" w:rsidRDefault="00931745" w:rsidP="00AB06A4">
      <w:pPr>
        <w:spacing w:after="240" w:line="360" w:lineRule="auto"/>
        <w:jc w:val="both"/>
        <w:rPr>
          <w:rFonts w:ascii="Arial" w:hAnsi="Arial" w:cs="Arial"/>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xml:space="preserve">), las enfermedades isquémicas del corazón son la </w:t>
      </w:r>
      <w:r w:rsidR="00AD140B" w:rsidRPr="005B6CA1">
        <w:rPr>
          <w:rFonts w:ascii="Arial" w:hAnsi="Arial" w:cs="Arial"/>
        </w:rPr>
        <w:t>primera causa</w:t>
      </w:r>
      <w:r w:rsidRPr="005B6CA1">
        <w:rPr>
          <w:rFonts w:ascii="Arial" w:hAnsi="Arial" w:cs="Arial"/>
        </w:rPr>
        <w:t xml:space="preserve">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xml:space="preserve">. No obstante, en vistas de transcender la perspectiva homogénea en las edades avanzadas, en este grupo etario subyace una propia estructura de mortalidad debido, principalmente, a </w:t>
      </w:r>
      <w:proofErr w:type="gramStart"/>
      <w:r w:rsidRPr="005B6CA1">
        <w:rPr>
          <w:rFonts w:ascii="Arial" w:hAnsi="Arial" w:cs="Arial"/>
        </w:rPr>
        <w:t>que</w:t>
      </w:r>
      <w:proofErr w:type="gramEnd"/>
      <w:r w:rsidRPr="005B6CA1">
        <w:rPr>
          <w:rFonts w:ascii="Arial" w:hAnsi="Arial" w:cs="Arial"/>
        </w:rPr>
        <w:t xml:space="preserv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931745" w:rsidRPr="00AB06A4" w:rsidRDefault="00931745" w:rsidP="00AB06A4">
      <w:pPr>
        <w:spacing w:line="360" w:lineRule="auto"/>
        <w:rPr>
          <w:rFonts w:ascii="Arial" w:hAnsi="Arial" w:cs="Arial"/>
        </w:rPr>
      </w:pPr>
    </w:p>
    <w:p w:rsidR="00931745" w:rsidRPr="00AB06A4" w:rsidRDefault="00931745" w:rsidP="00AB06A4">
      <w:pPr>
        <w:spacing w:line="360" w:lineRule="auto"/>
        <w:rPr>
          <w:rFonts w:ascii="Arial" w:hAnsi="Arial" w:cs="Arial"/>
        </w:rPr>
      </w:pP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6.</w:t>
      </w:r>
      <w:r w:rsidRPr="005B6CA1">
        <w:rPr>
          <w:rFonts w:ascii="Arial" w:hAnsi="Arial" w:cs="Arial"/>
          <w:b/>
        </w:rPr>
        <w:t xml:space="preserve"> Principales causas de mortalidad para </w:t>
      </w:r>
      <w:r>
        <w:rPr>
          <w:rFonts w:ascii="Arial" w:hAnsi="Arial" w:cs="Arial"/>
          <w:b/>
        </w:rPr>
        <w:t>la población masculina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362172D6" wp14:editId="3C3F3E21">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931745" w:rsidRPr="00845BFF" w:rsidRDefault="00931745" w:rsidP="0093174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rsidR="00AB06A4" w:rsidRPr="007D271D" w:rsidRDefault="00AB06A4" w:rsidP="00931745">
      <w:pPr>
        <w:spacing w:after="0" w:line="240" w:lineRule="auto"/>
        <w:jc w:val="center"/>
        <w:rPr>
          <w:rFonts w:ascii="Arial" w:hAnsi="Arial" w:cs="Arial"/>
          <w:b/>
          <w:sz w:val="20"/>
        </w:rPr>
      </w:pPr>
    </w:p>
    <w:p w:rsidR="00931745" w:rsidRPr="005B6CA1" w:rsidRDefault="00931745" w:rsidP="0093174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r w:rsidR="007D271D" w:rsidRPr="007D271D">
        <w:rPr>
          <w:rFonts w:ascii="Arial" w:hAnsi="Arial" w:cs="Arial"/>
          <w:noProof/>
          <w:lang w:eastAsia="es-MX"/>
        </w:rPr>
        <w:t xml:space="preserve"> </w:t>
      </w:r>
      <w:r w:rsidR="007D271D" w:rsidRPr="005B6CA1">
        <w:rPr>
          <w:rFonts w:ascii="Arial" w:hAnsi="Arial" w:cs="Arial"/>
          <w:noProof/>
          <w:lang w:eastAsia="es-MX"/>
        </w:rPr>
        <w:drawing>
          <wp:inline distT="0" distB="0" distL="0" distR="0" wp14:anchorId="4126C648" wp14:editId="079189D5">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7BC7400B" wp14:editId="25F0CDD9">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4800" cy="3600000"/>
                    </a:xfrm>
                    <a:prstGeom prst="rect">
                      <a:avLst/>
                    </a:prstGeom>
                  </pic:spPr>
                </pic:pic>
              </a:graphicData>
            </a:graphic>
          </wp:inline>
        </w:drawing>
      </w:r>
    </w:p>
    <w:p w:rsidR="00931745" w:rsidRDefault="00931745" w:rsidP="00931745">
      <w:pPr>
        <w:spacing w:after="0" w:line="24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7D271D" w:rsidRPr="00845BFF" w:rsidRDefault="007D271D" w:rsidP="00931745">
      <w:pPr>
        <w:spacing w:after="0" w:line="240" w:lineRule="auto"/>
        <w:jc w:val="center"/>
        <w:rPr>
          <w:rFonts w:ascii="Arial" w:hAnsi="Arial" w:cs="Arial"/>
          <w:b/>
          <w:sz w:val="18"/>
        </w:rPr>
      </w:pPr>
    </w:p>
    <w:p w:rsidR="00931745" w:rsidRPr="005B6CA1" w:rsidRDefault="00931745" w:rsidP="0093174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2215CE62" wp14:editId="399B4331">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754DBB" w:rsidRDefault="007D271D" w:rsidP="007E2B99">
      <w:pPr>
        <w:spacing w:after="0" w:line="360" w:lineRule="auto"/>
        <w:jc w:val="both"/>
        <w:rPr>
          <w:rFonts w:ascii="Arial" w:hAnsi="Arial" w:cs="Arial"/>
          <w:b/>
        </w:rPr>
      </w:pPr>
      <w:r>
        <w:rPr>
          <w:rFonts w:ascii="Arial" w:hAnsi="Arial" w:cs="Arial"/>
          <w:b/>
        </w:rPr>
        <w:lastRenderedPageBreak/>
        <w:t>2.5</w:t>
      </w:r>
      <w:r w:rsidR="00931745" w:rsidRPr="00754DBB">
        <w:rPr>
          <w:rFonts w:ascii="Arial" w:hAnsi="Arial" w:cs="Arial"/>
          <w:b/>
        </w:rPr>
        <w:t xml:space="preserve">. Provisión global de especialistas y servicios de </w:t>
      </w:r>
      <w:r w:rsidR="001B5D03">
        <w:rPr>
          <w:rFonts w:ascii="Arial" w:hAnsi="Arial" w:cs="Arial"/>
          <w:b/>
        </w:rPr>
        <w:t>Cirugía</w:t>
      </w:r>
      <w:r w:rsidR="00931745">
        <w:rPr>
          <w:rFonts w:ascii="Arial" w:hAnsi="Arial" w:cs="Arial"/>
          <w:b/>
        </w:rPr>
        <w:t>.</w:t>
      </w:r>
      <w:r w:rsidR="00931745" w:rsidRPr="00754DBB">
        <w:rPr>
          <w:rFonts w:ascii="Arial" w:hAnsi="Arial" w:cs="Arial"/>
          <w:b/>
        </w:rPr>
        <w:t xml:space="preserve"> </w:t>
      </w:r>
    </w:p>
    <w:p w:rsidR="00931745" w:rsidRDefault="00931745" w:rsidP="007E2B99">
      <w:pPr>
        <w:spacing w:after="0"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xml:space="preserve">. Asimismo, es importante mencionar que en México; al respecto, el promedio de proporciones de la Organización para la Cooperación y el Desarrollo </w:t>
      </w:r>
      <w:r w:rsidRPr="001F74E0">
        <w:rPr>
          <w:rFonts w:ascii="Arial" w:hAnsi="Arial" w:cs="Arial"/>
          <w:b/>
        </w:rPr>
        <w:t>Económicos</w:t>
      </w:r>
      <w:r>
        <w:rPr>
          <w:rFonts w:ascii="Arial" w:hAnsi="Arial" w:cs="Arial"/>
        </w:rPr>
        <w:t xml:space="preserve">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rsidR="00931745" w:rsidRDefault="00931745" w:rsidP="003C138F">
      <w:pPr>
        <w:spacing w:after="240"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F66264">
        <w:rPr>
          <w:rFonts w:ascii="Arial" w:hAnsi="Arial" w:cs="Arial"/>
        </w:rPr>
        <w:t>al alza</w:t>
      </w:r>
      <w:r>
        <w:rPr>
          <w:rFonts w:ascii="Arial" w:hAnsi="Arial" w:cs="Arial"/>
        </w:rPr>
        <w:t xml:space="preserve"> de los especialistas en el país, el cual se ha correspondido con el crecimiento </w:t>
      </w:r>
      <w:proofErr w:type="gramStart"/>
      <w:r>
        <w:rPr>
          <w:rFonts w:ascii="Arial" w:hAnsi="Arial" w:cs="Arial"/>
        </w:rPr>
        <w:t>poblacional</w:t>
      </w:r>
      <w:proofErr w:type="gramEnd"/>
      <w:r>
        <w:rPr>
          <w:rFonts w:ascii="Arial" w:hAnsi="Arial" w:cs="Arial"/>
        </w:rPr>
        <w:t xml:space="preserve"> no </w:t>
      </w:r>
      <w:r w:rsidR="00F66264">
        <w:rPr>
          <w:rFonts w:ascii="Arial" w:hAnsi="Arial" w:cs="Arial"/>
        </w:rPr>
        <w:t>obstante,</w:t>
      </w:r>
      <w:r>
        <w:rPr>
          <w:rFonts w:ascii="Arial" w:hAnsi="Arial" w:cs="Arial"/>
        </w:rPr>
        <w:t xml:space="preserve"> el ritmo de crecimiento ha sido paulatino e 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rsidR="00931745" w:rsidRPr="000B1A58" w:rsidRDefault="00931745" w:rsidP="00931745">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146D947B" wp14:editId="4AE5F8D1">
            <wp:extent cx="5655538" cy="1849942"/>
            <wp:effectExtent l="0" t="0" r="2540" b="1714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31745" w:rsidRPr="00D80542" w:rsidRDefault="00931745" w:rsidP="003C138F">
      <w:pPr>
        <w:spacing w:after="0" w:line="240" w:lineRule="auto"/>
        <w:ind w:firstLine="708"/>
        <w:jc w:val="both"/>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w:t>
      </w:r>
      <w:proofErr w:type="spellStart"/>
      <w:r w:rsidRPr="00D80542">
        <w:rPr>
          <w:rFonts w:ascii="Arial" w:hAnsi="Arial" w:cs="Arial"/>
          <w:sz w:val="18"/>
        </w:rPr>
        <w:t>Heinze</w:t>
      </w:r>
      <w:proofErr w:type="spellEnd"/>
      <w:r w:rsidRPr="00D80542">
        <w:rPr>
          <w:rFonts w:ascii="Arial" w:hAnsi="Arial" w:cs="Arial"/>
          <w:sz w:val="18"/>
        </w:rPr>
        <w:t xml:space="preserve"> </w:t>
      </w:r>
      <w:r w:rsidRPr="00D80542">
        <w:rPr>
          <w:rFonts w:ascii="Arial" w:hAnsi="Arial" w:cs="Arial"/>
          <w:i/>
          <w:sz w:val="18"/>
        </w:rPr>
        <w:t>et al</w:t>
      </w:r>
      <w:r w:rsidRPr="00D80542">
        <w:rPr>
          <w:rFonts w:ascii="Arial" w:hAnsi="Arial" w:cs="Arial"/>
          <w:sz w:val="18"/>
        </w:rPr>
        <w:t xml:space="preserve"> (2018).</w:t>
      </w:r>
    </w:p>
    <w:p w:rsidR="00931745" w:rsidRDefault="00931745" w:rsidP="003C138F">
      <w:pPr>
        <w:spacing w:after="0" w:line="24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w:t>
      </w:r>
      <w:proofErr w:type="spellStart"/>
      <w:r w:rsidRPr="00D80542">
        <w:rPr>
          <w:rFonts w:ascii="Arial" w:hAnsi="Arial" w:cs="Arial"/>
          <w:sz w:val="18"/>
        </w:rPr>
        <w:t>Heinze</w:t>
      </w:r>
      <w:proofErr w:type="spellEnd"/>
      <w:r w:rsidRPr="00D80542">
        <w:rPr>
          <w:rFonts w:ascii="Arial" w:hAnsi="Arial" w:cs="Arial"/>
          <w:sz w:val="18"/>
        </w:rPr>
        <w:t xml:space="preserve"> </w:t>
      </w:r>
      <w:r w:rsidRPr="000C7D4F">
        <w:rPr>
          <w:rFonts w:ascii="Arial" w:hAnsi="Arial" w:cs="Arial"/>
          <w:i/>
          <w:sz w:val="18"/>
        </w:rPr>
        <w:t>et al</w:t>
      </w:r>
      <w:r w:rsidRPr="00D80542">
        <w:rPr>
          <w:rFonts w:ascii="Arial" w:hAnsi="Arial" w:cs="Arial"/>
          <w:sz w:val="18"/>
        </w:rPr>
        <w:t xml:space="preserve"> (2018) y de las proyecciones de población de CONAPO.</w:t>
      </w:r>
      <w:r>
        <w:rPr>
          <w:rFonts w:ascii="Arial" w:hAnsi="Arial" w:cs="Arial"/>
        </w:rPr>
        <w:t xml:space="preserve"> </w:t>
      </w:r>
    </w:p>
    <w:p w:rsidR="00931745" w:rsidRPr="00B153DC" w:rsidRDefault="00931745" w:rsidP="00931745">
      <w:pPr>
        <w:spacing w:after="0" w:line="360" w:lineRule="auto"/>
        <w:jc w:val="center"/>
        <w:rPr>
          <w:rFonts w:ascii="Arial" w:hAnsi="Arial" w:cs="Arial"/>
          <w:b/>
        </w:rPr>
      </w:pPr>
      <w:r>
        <w:rPr>
          <w:rFonts w:ascii="Arial" w:hAnsi="Arial" w:cs="Arial"/>
        </w:rPr>
        <w:lastRenderedPageBreak/>
        <w:t xml:space="preserve"> </w:t>
      </w:r>
      <w:r w:rsidRPr="00B153DC">
        <w:rPr>
          <w:rFonts w:ascii="Arial" w:hAnsi="Arial" w:cs="Arial"/>
          <w:b/>
        </w:rPr>
        <w:t>Gráfica</w:t>
      </w:r>
      <w:r>
        <w:rPr>
          <w:rFonts w:ascii="Arial" w:hAnsi="Arial" w:cs="Arial"/>
          <w:b/>
        </w:rPr>
        <w:t xml:space="preserve"> 5</w:t>
      </w:r>
      <w:r w:rsidRPr="00B153DC">
        <w:rPr>
          <w:rFonts w:ascii="Arial" w:hAnsi="Arial" w:cs="Arial"/>
          <w:b/>
        </w:rPr>
        <w:t>. Médicos especialistas por 1,000 habitantes diversos países de la OCDE, 2015.</w:t>
      </w:r>
    </w:p>
    <w:p w:rsidR="00931745" w:rsidRDefault="00931745" w:rsidP="00931745">
      <w:pPr>
        <w:spacing w:after="0" w:line="360" w:lineRule="auto"/>
        <w:jc w:val="center"/>
        <w:rPr>
          <w:rFonts w:ascii="Arial" w:hAnsi="Arial" w:cs="Arial"/>
        </w:rPr>
      </w:pPr>
      <w:r>
        <w:rPr>
          <w:noProof/>
          <w:lang w:eastAsia="es-MX"/>
        </w:rPr>
        <w:drawing>
          <wp:inline distT="0" distB="0" distL="0" distR="0" wp14:anchorId="7387445D" wp14:editId="275686D8">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31745" w:rsidRPr="00B350E5" w:rsidRDefault="00931745" w:rsidP="00931745">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rsidR="00C234CD" w:rsidRDefault="00C234CD" w:rsidP="00D95763">
      <w:pPr>
        <w:spacing w:line="360" w:lineRule="auto"/>
        <w:jc w:val="both"/>
        <w:rPr>
          <w:rFonts w:ascii="Arial" w:hAnsi="Arial" w:cs="Arial"/>
        </w:rPr>
      </w:pPr>
    </w:p>
    <w:p w:rsidR="00D95763" w:rsidRDefault="00D95763" w:rsidP="00D95763">
      <w:pPr>
        <w:spacing w:line="360" w:lineRule="auto"/>
        <w:jc w:val="both"/>
        <w:rPr>
          <w:rFonts w:ascii="Arial" w:hAnsi="Arial" w:cs="Arial"/>
        </w:rPr>
      </w:pPr>
      <w:r>
        <w:rPr>
          <w:rFonts w:ascii="Arial" w:hAnsi="Arial" w:cs="Arial"/>
        </w:rPr>
        <w:t xml:space="preserve">Respecto a los especialistas en </w:t>
      </w:r>
      <w:r w:rsidR="0017424F">
        <w:rPr>
          <w:rFonts w:ascii="Arial" w:hAnsi="Arial" w:cs="Arial"/>
        </w:rPr>
        <w:t>Cirugía general</w:t>
      </w:r>
      <w:r>
        <w:rPr>
          <w:rFonts w:ascii="Arial" w:hAnsi="Arial" w:cs="Arial"/>
        </w:rPr>
        <w:t>, se estima que para México en 2017 había</w:t>
      </w:r>
      <w:r w:rsidR="0017424F">
        <w:rPr>
          <w:rFonts w:ascii="Arial" w:hAnsi="Arial" w:cs="Arial"/>
        </w:rPr>
        <w:t xml:space="preserve"> 10,982 especialistas, es decir, una tasa de 0.88 cirujanos por cada 10,000 habitantes. De dicha población de médicos especialistas, 35.8% tenían una certificación vigente</w:t>
      </w:r>
      <w:r w:rsidR="00C51F90">
        <w:rPr>
          <w:rStyle w:val="Refdenotaalpie"/>
          <w:rFonts w:ascii="Arial" w:hAnsi="Arial" w:cs="Arial"/>
        </w:rPr>
        <w:footnoteReference w:id="37"/>
      </w:r>
      <w:r w:rsidR="0017424F">
        <w:rPr>
          <w:rFonts w:ascii="Arial" w:hAnsi="Arial" w:cs="Arial"/>
        </w:rPr>
        <w:t xml:space="preserve">. </w:t>
      </w:r>
      <w:r w:rsidR="005B4C39">
        <w:rPr>
          <w:rFonts w:ascii="Arial" w:hAnsi="Arial" w:cs="Arial"/>
        </w:rPr>
        <w:t>Por otro lado, estimaciones del sector público de salud en México señalan que alrededor de 81% de los cirujanos laboran en dicho sector</w:t>
      </w:r>
      <w:r w:rsidR="00C51F90">
        <w:rPr>
          <w:rStyle w:val="Refdenotaalpie"/>
          <w:rFonts w:ascii="Arial" w:hAnsi="Arial" w:cs="Arial"/>
        </w:rPr>
        <w:footnoteReference w:id="38"/>
      </w:r>
      <w:r w:rsidR="005B4C39">
        <w:rPr>
          <w:rFonts w:ascii="Arial" w:hAnsi="Arial" w:cs="Arial"/>
        </w:rPr>
        <w:t xml:space="preserve">. </w:t>
      </w:r>
      <w:r w:rsidR="00C51F90">
        <w:rPr>
          <w:rFonts w:ascii="Arial" w:hAnsi="Arial" w:cs="Arial"/>
        </w:rPr>
        <w:t>Otras e</w:t>
      </w:r>
      <w:r w:rsidR="005B4C39">
        <w:rPr>
          <w:rFonts w:ascii="Arial" w:hAnsi="Arial" w:cs="Arial"/>
        </w:rPr>
        <w:t xml:space="preserve">stimaciones indican que hay poco más de </w:t>
      </w:r>
      <w:r w:rsidR="00C51F90">
        <w:rPr>
          <w:rFonts w:ascii="Arial" w:hAnsi="Arial" w:cs="Arial"/>
        </w:rPr>
        <w:t xml:space="preserve">90% de los cirujanos también laboran </w:t>
      </w:r>
      <w:r w:rsidR="005B4C39">
        <w:rPr>
          <w:rFonts w:ascii="Arial" w:hAnsi="Arial" w:cs="Arial"/>
        </w:rPr>
        <w:t>en el sector privado</w:t>
      </w:r>
      <w:r w:rsidR="00C51F90">
        <w:rPr>
          <w:rStyle w:val="Refdenotaalpie"/>
          <w:rFonts w:ascii="Arial" w:hAnsi="Arial" w:cs="Arial"/>
        </w:rPr>
        <w:footnoteReference w:id="39"/>
      </w:r>
      <w:r w:rsidR="005B4C39">
        <w:rPr>
          <w:rFonts w:ascii="Arial" w:hAnsi="Arial" w:cs="Arial"/>
        </w:rPr>
        <w:t xml:space="preserve">; al respecto, </w:t>
      </w:r>
      <w:r w:rsidR="005B4C39" w:rsidRPr="005B4C39">
        <w:rPr>
          <w:rFonts w:ascii="Arial" w:hAnsi="Arial" w:cs="Arial"/>
        </w:rPr>
        <w:t xml:space="preserve">es importante </w:t>
      </w:r>
      <w:r w:rsidR="005B4C39">
        <w:rPr>
          <w:rFonts w:ascii="Arial" w:hAnsi="Arial" w:cs="Arial"/>
        </w:rPr>
        <w:t>considerar que una alta</w:t>
      </w:r>
      <w:r w:rsidR="005B4C39"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sidR="00561E8B">
        <w:rPr>
          <w:rStyle w:val="Refdenotaalpie"/>
          <w:rFonts w:ascii="Arial" w:hAnsi="Arial" w:cs="Arial"/>
        </w:rPr>
        <w:footnoteReference w:id="40"/>
      </w:r>
      <w:r w:rsidR="005B4C39" w:rsidRPr="005B4C39">
        <w:rPr>
          <w:rFonts w:ascii="Arial" w:hAnsi="Arial" w:cs="Arial"/>
        </w:rPr>
        <w:t>.</w:t>
      </w:r>
      <w:r w:rsidR="005B4C39">
        <w:rPr>
          <w:rFonts w:ascii="Arial" w:hAnsi="Arial" w:cs="Arial"/>
        </w:rPr>
        <w:t xml:space="preserve"> Sin embargo, en el caso de los cirujanos generales, </w:t>
      </w:r>
      <w:r w:rsidR="005B4C39">
        <w:rPr>
          <w:rFonts w:ascii="Arial" w:hAnsi="Arial" w:cs="Arial"/>
        </w:rPr>
        <w:lastRenderedPageBreak/>
        <w:t>Cervantes expone que existe una ambigüedad entre los especialistas y aquellos grad</w:t>
      </w:r>
      <w:r w:rsidR="00F365F3">
        <w:rPr>
          <w:rFonts w:ascii="Arial" w:hAnsi="Arial" w:cs="Arial"/>
        </w:rPr>
        <w:t>uados de licenciatura con alguna variante que incluye la palabra “cirujano”</w:t>
      </w:r>
      <w:r w:rsidR="00C51F90">
        <w:rPr>
          <w:rStyle w:val="Refdenotaalpie"/>
          <w:rFonts w:ascii="Arial" w:hAnsi="Arial" w:cs="Arial"/>
        </w:rPr>
        <w:footnoteReference w:id="41"/>
      </w:r>
      <w:r w:rsidR="00F365F3">
        <w:rPr>
          <w:rFonts w:ascii="Arial" w:hAnsi="Arial" w:cs="Arial"/>
        </w:rPr>
        <w:t>.</w:t>
      </w:r>
      <w:r>
        <w:rPr>
          <w:rFonts w:ascii="Arial" w:hAnsi="Arial" w:cs="Arial"/>
        </w:rPr>
        <w:t xml:space="preserve"> </w:t>
      </w:r>
    </w:p>
    <w:p w:rsidR="003C287F" w:rsidRDefault="00D95763" w:rsidP="00D95763">
      <w:pPr>
        <w:spacing w:line="360" w:lineRule="auto"/>
        <w:jc w:val="both"/>
        <w:rPr>
          <w:rFonts w:ascii="Arial" w:hAnsi="Arial" w:cs="Arial"/>
        </w:rPr>
      </w:pPr>
      <w:r>
        <w:rPr>
          <w:rFonts w:ascii="Arial" w:hAnsi="Arial" w:cs="Arial"/>
        </w:rPr>
        <w:t xml:space="preserve">En México, en los últimos años se han otorgado en promedio </w:t>
      </w:r>
      <w:r w:rsidR="009F3C46">
        <w:rPr>
          <w:rFonts w:ascii="Arial" w:hAnsi="Arial" w:cs="Arial"/>
        </w:rPr>
        <w:t xml:space="preserve">más de 3.6 millones de intervenciones quirúrgicas tan sólo en el sector público. </w:t>
      </w:r>
      <w:r>
        <w:rPr>
          <w:rFonts w:ascii="Arial" w:hAnsi="Arial" w:cs="Arial"/>
        </w:rPr>
        <w:t>De acuerdo al último Boletín de Información Estadística</w:t>
      </w:r>
      <w:r w:rsidR="00F02449">
        <w:rPr>
          <w:rFonts w:ascii="Arial" w:hAnsi="Arial" w:cs="Arial"/>
        </w:rPr>
        <w:t xml:space="preserve"> publicado, en 2016 se hicieron</w:t>
      </w:r>
      <w:r>
        <w:rPr>
          <w:rFonts w:ascii="Arial" w:hAnsi="Arial" w:cs="Arial"/>
        </w:rPr>
        <w:t xml:space="preserve"> </w:t>
      </w:r>
      <w:r w:rsidR="00F02449" w:rsidRPr="00F02449">
        <w:rPr>
          <w:rFonts w:ascii="Arial" w:hAnsi="Arial" w:cs="Arial"/>
        </w:rPr>
        <w:t>3</w:t>
      </w:r>
      <w:r w:rsidR="00F02449">
        <w:rPr>
          <w:rFonts w:ascii="Arial" w:hAnsi="Arial" w:cs="Arial"/>
        </w:rPr>
        <w:t>,</w:t>
      </w:r>
      <w:r w:rsidR="00F02449" w:rsidRPr="00F02449">
        <w:rPr>
          <w:rFonts w:ascii="Arial" w:hAnsi="Arial" w:cs="Arial"/>
        </w:rPr>
        <w:t>718</w:t>
      </w:r>
      <w:r w:rsidR="00F02449">
        <w:rPr>
          <w:rFonts w:ascii="Arial" w:hAnsi="Arial" w:cs="Arial"/>
        </w:rPr>
        <w:t>,</w:t>
      </w:r>
      <w:r w:rsidR="00F02449" w:rsidRPr="00F02449">
        <w:rPr>
          <w:rFonts w:ascii="Arial" w:hAnsi="Arial" w:cs="Arial"/>
        </w:rPr>
        <w:t>272</w:t>
      </w:r>
      <w:r w:rsidR="00F02449">
        <w:rPr>
          <w:rFonts w:ascii="Arial" w:hAnsi="Arial" w:cs="Arial"/>
        </w:rPr>
        <w:t xml:space="preserve"> intervenciones quirúrgicas</w:t>
      </w:r>
      <w:r w:rsidR="001B5D03">
        <w:rPr>
          <w:rStyle w:val="Refdenotaalpie"/>
          <w:rFonts w:ascii="Arial" w:hAnsi="Arial" w:cs="Arial"/>
        </w:rPr>
        <w:footnoteReference w:id="42"/>
      </w:r>
      <w:r>
        <w:rPr>
          <w:rFonts w:ascii="Arial" w:hAnsi="Arial" w:cs="Arial"/>
        </w:rPr>
        <w:t>. Además, la serie histórica 200</w:t>
      </w:r>
      <w:r w:rsidR="001B5D03">
        <w:rPr>
          <w:rFonts w:ascii="Arial" w:hAnsi="Arial" w:cs="Arial"/>
        </w:rPr>
        <w:t>0</w:t>
      </w:r>
      <w:r>
        <w:rPr>
          <w:rFonts w:ascii="Arial" w:hAnsi="Arial" w:cs="Arial"/>
        </w:rPr>
        <w:t>-2016 –de los servicios otorgados en</w:t>
      </w:r>
      <w:r w:rsidR="00F02449">
        <w:rPr>
          <w:rFonts w:ascii="Arial" w:hAnsi="Arial" w:cs="Arial"/>
        </w:rPr>
        <w:t xml:space="preserve"> Cirugía– </w:t>
      </w:r>
      <w:r>
        <w:rPr>
          <w:rFonts w:ascii="Arial" w:hAnsi="Arial" w:cs="Arial"/>
        </w:rPr>
        <w:t xml:space="preserve"> muestra una clara tendencia a la alza</w:t>
      </w:r>
      <w:r w:rsidR="001B5D03">
        <w:rPr>
          <w:rFonts w:ascii="Arial" w:hAnsi="Arial" w:cs="Arial"/>
        </w:rPr>
        <w:t xml:space="preserve"> (Gráfica 6)</w:t>
      </w:r>
      <w:r>
        <w:rPr>
          <w:rFonts w:ascii="Arial" w:hAnsi="Arial" w:cs="Arial"/>
        </w:rPr>
        <w:t>; en este período el número de servicios tuvo una tasa promedio de i</w:t>
      </w:r>
      <w:r w:rsidR="00F02449">
        <w:rPr>
          <w:rFonts w:ascii="Arial" w:hAnsi="Arial" w:cs="Arial"/>
        </w:rPr>
        <w:t>ncremento anual de 1.8</w:t>
      </w:r>
      <w:r>
        <w:rPr>
          <w:rFonts w:ascii="Arial" w:hAnsi="Arial" w:cs="Arial"/>
        </w:rPr>
        <w:t>%</w:t>
      </w:r>
      <w:r w:rsidR="001B5D03">
        <w:rPr>
          <w:rStyle w:val="Refdenotaalpie"/>
          <w:rFonts w:ascii="Arial" w:hAnsi="Arial" w:cs="Arial"/>
        </w:rPr>
        <w:footnoteReference w:id="43"/>
      </w:r>
      <w:r w:rsidR="00F02449">
        <w:rPr>
          <w:rFonts w:ascii="Arial" w:hAnsi="Arial" w:cs="Arial"/>
        </w:rPr>
        <w:t>.</w:t>
      </w:r>
      <w:r>
        <w:rPr>
          <w:rFonts w:ascii="Arial" w:hAnsi="Arial" w:cs="Arial"/>
        </w:rPr>
        <w:t xml:space="preserve"> Asimismo, se hizo un pronóstico estocástico de los servicios en un horizonte a 6 años, es decir, para el período 2017-2022. En específico, en un escenario donde las condiciones sean parecidas a las actuales, se observa que la t</w:t>
      </w:r>
      <w:r w:rsidR="003C287F">
        <w:rPr>
          <w:rFonts w:ascii="Arial" w:hAnsi="Arial" w:cs="Arial"/>
        </w:rPr>
        <w:t xml:space="preserve">endencia </w:t>
      </w:r>
      <w:r w:rsidR="00AD140B">
        <w:rPr>
          <w:rFonts w:ascii="Arial" w:hAnsi="Arial" w:cs="Arial"/>
        </w:rPr>
        <w:t>al alza</w:t>
      </w:r>
      <w:r w:rsidR="003C287F">
        <w:rPr>
          <w:rFonts w:ascii="Arial" w:hAnsi="Arial" w:cs="Arial"/>
        </w:rPr>
        <w:t xml:space="preserve"> continuará durante</w:t>
      </w:r>
      <w:r>
        <w:rPr>
          <w:rFonts w:ascii="Arial" w:hAnsi="Arial" w:cs="Arial"/>
        </w:rPr>
        <w:t xml:space="preserve"> los siguientes años, </w:t>
      </w:r>
      <w:r w:rsidR="003C287F">
        <w:rPr>
          <w:rFonts w:ascii="Arial" w:hAnsi="Arial" w:cs="Arial"/>
        </w:rPr>
        <w:t>conservando la velocidad de crecimiento anual. Para el año 2019, se pronostican alrededor de</w:t>
      </w:r>
      <w:r w:rsidR="003C287F" w:rsidRPr="003C287F">
        <w:rPr>
          <w:rFonts w:ascii="Arial" w:hAnsi="Arial" w:cs="Arial"/>
        </w:rPr>
        <w:t xml:space="preserve"> 3,855,630</w:t>
      </w:r>
      <w:r w:rsidR="003C287F">
        <w:rPr>
          <w:rFonts w:ascii="Arial" w:hAnsi="Arial" w:cs="Arial"/>
        </w:rPr>
        <w:t xml:space="preserve"> de intervenciones quirúrgicas (3.785-3.925 millones de servicios otorgados </w:t>
      </w:r>
      <w:r w:rsidR="003C287F" w:rsidRPr="003C287F">
        <w:rPr>
          <w:rFonts w:ascii="Arial" w:hAnsi="Arial" w:cs="Arial"/>
        </w:rPr>
        <w:t>con un intervalo de pronóstico (IP) de 95%)</w:t>
      </w:r>
      <w:r w:rsidR="003C287F">
        <w:rPr>
          <w:rFonts w:ascii="Arial" w:hAnsi="Arial" w:cs="Arial"/>
        </w:rPr>
        <w:t xml:space="preserve">; para el año 2022 se pronostican un poco más de 3.929 millones de cirugías en México (3.859-3.998 millones IP 95%). </w:t>
      </w:r>
    </w:p>
    <w:p w:rsidR="00D95763" w:rsidRPr="00FD181D" w:rsidRDefault="00D95763" w:rsidP="00D95763">
      <w:pPr>
        <w:spacing w:line="360" w:lineRule="auto"/>
        <w:jc w:val="center"/>
        <w:rPr>
          <w:rFonts w:ascii="Arial" w:hAnsi="Arial" w:cs="Arial"/>
          <w:b/>
        </w:rPr>
      </w:pPr>
      <w:r w:rsidRPr="00FD181D">
        <w:rPr>
          <w:rFonts w:ascii="Arial" w:hAnsi="Arial" w:cs="Arial"/>
          <w:b/>
        </w:rPr>
        <w:t>Gráfica</w:t>
      </w:r>
      <w:r w:rsidR="009B0A6F">
        <w:rPr>
          <w:rFonts w:ascii="Arial" w:hAnsi="Arial" w:cs="Arial"/>
          <w:b/>
        </w:rPr>
        <w:t xml:space="preserve"> 6</w:t>
      </w:r>
      <w:r w:rsidRPr="00FD181D">
        <w:rPr>
          <w:rFonts w:ascii="Arial" w:hAnsi="Arial" w:cs="Arial"/>
          <w:b/>
        </w:rPr>
        <w:t xml:space="preserve">. Evolución y pronóstico de los servicios otorgados de </w:t>
      </w:r>
      <w:r w:rsidR="00F02449">
        <w:rPr>
          <w:rFonts w:ascii="Arial" w:hAnsi="Arial" w:cs="Arial"/>
          <w:b/>
        </w:rPr>
        <w:t>Cirugía</w:t>
      </w:r>
      <w:r w:rsidRPr="00FD181D">
        <w:rPr>
          <w:rFonts w:ascii="Arial" w:hAnsi="Arial" w:cs="Arial"/>
          <w:b/>
        </w:rPr>
        <w:t>, 2000-2016 y 2017-2022.</w:t>
      </w:r>
    </w:p>
    <w:p w:rsidR="00D95763" w:rsidRDefault="003C287F" w:rsidP="001E47F9">
      <w:pPr>
        <w:spacing w:after="0" w:line="360" w:lineRule="auto"/>
        <w:jc w:val="center"/>
        <w:rPr>
          <w:rFonts w:ascii="Arial" w:hAnsi="Arial" w:cs="Arial"/>
        </w:rPr>
      </w:pPr>
      <w:r>
        <w:rPr>
          <w:noProof/>
          <w:lang w:eastAsia="es-MX"/>
        </w:rPr>
        <w:drawing>
          <wp:inline distT="0" distB="0" distL="0" distR="0" wp14:anchorId="01342C44" wp14:editId="5F2E6D35">
            <wp:extent cx="5465258" cy="2452495"/>
            <wp:effectExtent l="0" t="0" r="2540" b="508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D95763" w:rsidRPr="001E47F9" w:rsidRDefault="00D95763" w:rsidP="001E47F9">
      <w:pPr>
        <w:spacing w:after="0" w:line="360" w:lineRule="auto"/>
        <w:jc w:val="center"/>
        <w:rPr>
          <w:rFonts w:ascii="Arial" w:hAnsi="Arial" w:cs="Arial"/>
          <w:sz w:val="18"/>
        </w:rPr>
      </w:pPr>
      <w:r w:rsidRPr="001E47F9">
        <w:rPr>
          <w:rFonts w:ascii="Arial" w:hAnsi="Arial" w:cs="Arial"/>
          <w:b/>
          <w:sz w:val="18"/>
        </w:rPr>
        <w:t>Fuente:</w:t>
      </w:r>
      <w:r w:rsidRPr="001E47F9">
        <w:rPr>
          <w:rFonts w:ascii="Arial" w:hAnsi="Arial" w:cs="Arial"/>
          <w:sz w:val="18"/>
        </w:rPr>
        <w:t xml:space="preserve"> Elaboración propia con base en SSA</w:t>
      </w:r>
      <w:r w:rsidR="001E47F9">
        <w:rPr>
          <w:rFonts w:ascii="Arial" w:hAnsi="Arial" w:cs="Arial"/>
          <w:sz w:val="18"/>
        </w:rPr>
        <w:t xml:space="preserve"> (2017).</w:t>
      </w:r>
    </w:p>
    <w:p w:rsidR="00C234CD" w:rsidRDefault="003C287F" w:rsidP="00D95763">
      <w:pPr>
        <w:spacing w:line="360" w:lineRule="auto"/>
        <w:jc w:val="both"/>
        <w:rPr>
          <w:rFonts w:ascii="Arial" w:hAnsi="Arial" w:cs="Arial"/>
        </w:rPr>
      </w:pPr>
      <w:r>
        <w:rPr>
          <w:rFonts w:ascii="Arial" w:hAnsi="Arial" w:cs="Arial"/>
        </w:rPr>
        <w:lastRenderedPageBreak/>
        <w:t xml:space="preserve">Aunado a lo anterior, es importante notar que la tendencia </w:t>
      </w:r>
      <w:r w:rsidR="007D0ABD">
        <w:rPr>
          <w:rFonts w:ascii="Arial" w:hAnsi="Arial" w:cs="Arial"/>
        </w:rPr>
        <w:t>al alza</w:t>
      </w:r>
      <w:r>
        <w:rPr>
          <w:rFonts w:ascii="Arial" w:hAnsi="Arial" w:cs="Arial"/>
        </w:rPr>
        <w:t xml:space="preserve"> de las intervenciones quirúrgicas podría acelerarse aún más, es decir, crecer tanto en términos absolutos y </w:t>
      </w:r>
      <w:r w:rsidR="00994730">
        <w:rPr>
          <w:rFonts w:ascii="Arial" w:hAnsi="Arial" w:cs="Arial"/>
        </w:rPr>
        <w:t>relativos si es que el sistema de salud (público y privado) tienen capacidad para ello.</w:t>
      </w:r>
      <w:r w:rsidR="006A0F5B">
        <w:rPr>
          <w:rFonts w:ascii="Arial" w:hAnsi="Arial" w:cs="Arial"/>
        </w:rPr>
        <w:t xml:space="preserve"> Al respecto,</w:t>
      </w:r>
      <w:r w:rsidR="00994730">
        <w:rPr>
          <w:rFonts w:ascii="Arial" w:hAnsi="Arial" w:cs="Arial"/>
        </w:rPr>
        <w:t xml:space="preserve"> </w:t>
      </w:r>
      <w:r w:rsidR="006A0F5B">
        <w:rPr>
          <w:rFonts w:ascii="Arial" w:hAnsi="Arial" w:cs="Arial"/>
        </w:rPr>
        <w:t>l</w:t>
      </w:r>
      <w:r w:rsidR="00994730">
        <w:rPr>
          <w:rFonts w:ascii="Arial" w:hAnsi="Arial" w:cs="Arial"/>
        </w:rPr>
        <w:t>a tendencia a la alza es una consecuencia de que la cirugía es un componente esencial de la asistencia sanitaria, así como un rápido incremento en la incidencia de las ECNT y de los traumatismos –tanto a nivel país como mundial– ha hecho que el peso de la cirugí</w:t>
      </w:r>
      <w:r w:rsidR="006A0F5B">
        <w:rPr>
          <w:rFonts w:ascii="Arial" w:hAnsi="Arial" w:cs="Arial"/>
        </w:rPr>
        <w:t>a vaya en aumento</w:t>
      </w:r>
      <w:r w:rsidR="001B5D03">
        <w:rPr>
          <w:rStyle w:val="Refdenotaalpie"/>
          <w:rFonts w:ascii="Arial" w:hAnsi="Arial" w:cs="Arial"/>
        </w:rPr>
        <w:footnoteReference w:id="44"/>
      </w:r>
      <w:r w:rsidR="00C234CD">
        <w:rPr>
          <w:rFonts w:ascii="Arial" w:hAnsi="Arial" w:cs="Arial"/>
        </w:rPr>
        <w:t>.</w:t>
      </w:r>
    </w:p>
    <w:p w:rsidR="006A0F5B" w:rsidRDefault="006A0F5B" w:rsidP="00D95763">
      <w:pPr>
        <w:spacing w:line="360" w:lineRule="auto"/>
        <w:jc w:val="both"/>
        <w:rPr>
          <w:rFonts w:ascii="Arial" w:hAnsi="Arial" w:cs="Arial"/>
        </w:rPr>
      </w:pPr>
      <w:r>
        <w:rPr>
          <w:rFonts w:ascii="Arial" w:hAnsi="Arial" w:cs="Arial"/>
        </w:rPr>
        <w:t>Por ejemplo,</w:t>
      </w:r>
      <w:r w:rsidR="00994730">
        <w:rPr>
          <w:rFonts w:ascii="Arial" w:hAnsi="Arial" w:cs="Arial"/>
        </w:rPr>
        <w:t xml:space="preserve"> </w:t>
      </w:r>
      <w:r>
        <w:rPr>
          <w:rFonts w:ascii="Arial" w:hAnsi="Arial" w:cs="Arial"/>
        </w:rPr>
        <w:t>l</w:t>
      </w:r>
      <w:r w:rsidR="00994730" w:rsidRPr="00994730">
        <w:rPr>
          <w:rFonts w:ascii="Arial" w:hAnsi="Arial" w:cs="Arial"/>
        </w:rPr>
        <w:t xml:space="preserve">as enfermedades que pueden tratarse quirúrgicamente se encuentran entre las </w:t>
      </w:r>
      <w:r>
        <w:rPr>
          <w:rFonts w:ascii="Arial" w:hAnsi="Arial" w:cs="Arial"/>
        </w:rPr>
        <w:t xml:space="preserve">primeas </w:t>
      </w:r>
      <w:r w:rsidR="00994730" w:rsidRPr="00994730">
        <w:rPr>
          <w:rFonts w:ascii="Arial" w:hAnsi="Arial" w:cs="Arial"/>
        </w:rPr>
        <w:t>15 causas de discapacidad en todo el mundo</w:t>
      </w:r>
      <w:r>
        <w:rPr>
          <w:rFonts w:ascii="Arial" w:hAnsi="Arial" w:cs="Arial"/>
        </w:rPr>
        <w:t>;</w:t>
      </w:r>
      <w:r w:rsidR="00994730" w:rsidRPr="00994730">
        <w:rPr>
          <w:rFonts w:ascii="Arial" w:hAnsi="Arial" w:cs="Arial"/>
        </w:rPr>
        <w:t xml:space="preserve"> </w:t>
      </w:r>
      <w:r>
        <w:rPr>
          <w:rFonts w:ascii="Arial" w:hAnsi="Arial" w:cs="Arial"/>
        </w:rPr>
        <w:t xml:space="preserve">al menos </w:t>
      </w:r>
      <w:r w:rsidR="00994730" w:rsidRPr="00994730">
        <w:rPr>
          <w:rFonts w:ascii="Arial" w:hAnsi="Arial" w:cs="Arial"/>
        </w:rPr>
        <w:t xml:space="preserve">11% </w:t>
      </w:r>
      <w:r>
        <w:rPr>
          <w:rFonts w:ascii="Arial" w:hAnsi="Arial" w:cs="Arial"/>
        </w:rPr>
        <w:t>de los AVISA a nivel mundial son tratables eficazmente mediante cirugía, siendo que la proporción es aún</w:t>
      </w:r>
      <w:r w:rsidR="00994730" w:rsidRPr="00994730">
        <w:rPr>
          <w:rFonts w:ascii="Arial" w:hAnsi="Arial" w:cs="Arial"/>
        </w:rPr>
        <w:t xml:space="preserve"> mayor en países de ingresos bajos y medianos</w:t>
      </w:r>
      <w:r w:rsidR="001B5D03">
        <w:rPr>
          <w:rStyle w:val="Refdenotaalpie"/>
          <w:rFonts w:ascii="Arial" w:hAnsi="Arial" w:cs="Arial"/>
        </w:rPr>
        <w:footnoteReference w:id="45"/>
      </w:r>
      <w:r>
        <w:rPr>
          <w:rFonts w:ascii="Arial" w:hAnsi="Arial" w:cs="Arial"/>
        </w:rPr>
        <w:t xml:space="preserve">. Sin embargo, las necesidades de cirugía varían de una región a otra, dependiendo de los esquemas de enfermedad, </w:t>
      </w:r>
      <w:r w:rsidR="00D27BBB">
        <w:rPr>
          <w:rFonts w:ascii="Arial" w:hAnsi="Arial" w:cs="Arial"/>
        </w:rPr>
        <w:t>de los determinantes sociales, así como de la disponibilidad, acceso y uso de los sistemas de atención médica</w:t>
      </w:r>
      <w:r w:rsidR="001B5D03">
        <w:rPr>
          <w:rStyle w:val="Refdenotaalpie"/>
          <w:rFonts w:ascii="Arial" w:hAnsi="Arial" w:cs="Arial"/>
        </w:rPr>
        <w:footnoteReference w:id="46"/>
      </w:r>
      <w:r w:rsidR="00D27BBB">
        <w:rPr>
          <w:rFonts w:ascii="Arial" w:hAnsi="Arial" w:cs="Arial"/>
        </w:rPr>
        <w:t>.</w:t>
      </w:r>
    </w:p>
    <w:p w:rsidR="00265088" w:rsidRDefault="00D27BBB" w:rsidP="00D95763">
      <w:pPr>
        <w:spacing w:line="360" w:lineRule="auto"/>
        <w:jc w:val="both"/>
        <w:rPr>
          <w:rFonts w:ascii="Arial" w:hAnsi="Arial" w:cs="Arial"/>
        </w:rPr>
      </w:pPr>
      <w:r>
        <w:rPr>
          <w:rFonts w:ascii="Arial" w:hAnsi="Arial" w:cs="Arial"/>
        </w:rPr>
        <w:t xml:space="preserve">En México, </w:t>
      </w:r>
      <w:r w:rsidR="00167C0E">
        <w:rPr>
          <w:rFonts w:ascii="Arial" w:hAnsi="Arial" w:cs="Arial"/>
        </w:rPr>
        <w:t>el procedimiento quirúrgico de mayor frecuencia –absoluta y relativa– es la cesárea y extracción del feto, pues representa 22.1% de los realizados a nivel nacional</w:t>
      </w:r>
      <w:r w:rsidR="00FD54E3">
        <w:rPr>
          <w:rFonts w:ascii="Arial" w:hAnsi="Arial" w:cs="Arial"/>
        </w:rPr>
        <w:t xml:space="preserve"> (Cuadro 10)</w:t>
      </w:r>
      <w:r w:rsidR="00167C0E">
        <w:rPr>
          <w:rFonts w:ascii="Arial" w:hAnsi="Arial" w:cs="Arial"/>
        </w:rPr>
        <w:t>; en orden le siguen las operaciones sobre las trompas de Falopio (12.7%), o</w:t>
      </w:r>
      <w:r w:rsidR="00167C0E" w:rsidRPr="00167C0E">
        <w:rPr>
          <w:rFonts w:ascii="Arial" w:hAnsi="Arial" w:cs="Arial"/>
        </w:rPr>
        <w:t>tros procedimientos para la inducción o asistencia al parto</w:t>
      </w:r>
      <w:r w:rsidR="00167C0E">
        <w:rPr>
          <w:rFonts w:ascii="Arial" w:hAnsi="Arial" w:cs="Arial"/>
        </w:rPr>
        <w:t xml:space="preserve"> (8.4%) y o</w:t>
      </w:r>
      <w:r w:rsidR="00167C0E" w:rsidRPr="00167C0E">
        <w:rPr>
          <w:rFonts w:ascii="Arial" w:hAnsi="Arial" w:cs="Arial"/>
        </w:rPr>
        <w:t>tras operaciones sobre el útero y sus estructuras de soporte</w:t>
      </w:r>
      <w:r w:rsidR="00167C0E">
        <w:rPr>
          <w:rFonts w:ascii="Arial" w:hAnsi="Arial" w:cs="Arial"/>
        </w:rPr>
        <w:t xml:space="preserve"> (7.4%); estos procedimientos representan un poco más de la mitad de los hechos en el país y están asociados con la ginecología y la obstetricia</w:t>
      </w:r>
      <w:r w:rsidR="001B5D03">
        <w:rPr>
          <w:rStyle w:val="Refdenotaalpie"/>
          <w:rFonts w:ascii="Arial" w:hAnsi="Arial" w:cs="Arial"/>
        </w:rPr>
        <w:footnoteReference w:id="47"/>
      </w:r>
      <w:r w:rsidR="00167C0E">
        <w:rPr>
          <w:rFonts w:ascii="Arial" w:hAnsi="Arial" w:cs="Arial"/>
        </w:rPr>
        <w:t xml:space="preserve">. También destaca que el quinto padecimiento más frecuente, reducción de fractura y luxación, esté asociado a causas externar como son las lesiones; las operaciones sobre el aparato </w:t>
      </w:r>
      <w:proofErr w:type="spellStart"/>
      <w:r w:rsidR="00167C0E">
        <w:rPr>
          <w:rFonts w:ascii="Arial" w:hAnsi="Arial" w:cs="Arial"/>
        </w:rPr>
        <w:t>musculoesquéletico</w:t>
      </w:r>
      <w:proofErr w:type="spellEnd"/>
      <w:r w:rsidR="00167C0E">
        <w:rPr>
          <w:rFonts w:ascii="Arial" w:hAnsi="Arial" w:cs="Arial"/>
        </w:rPr>
        <w:t>, en conjunto, tienen una alta predominancia en la estructura de los procedimientos quirúrgicos</w:t>
      </w:r>
      <w:r w:rsidR="00B36B17">
        <w:rPr>
          <w:rStyle w:val="Refdenotaalpie"/>
          <w:rFonts w:ascii="Arial" w:hAnsi="Arial" w:cs="Arial"/>
        </w:rPr>
        <w:footnoteReference w:id="48"/>
      </w:r>
      <w:r w:rsidR="00C234CD">
        <w:rPr>
          <w:rFonts w:ascii="Arial" w:hAnsi="Arial" w:cs="Arial"/>
        </w:rPr>
        <w:t>.</w:t>
      </w:r>
    </w:p>
    <w:p w:rsidR="00C234CD" w:rsidRDefault="00C234CD" w:rsidP="00D95763">
      <w:pPr>
        <w:spacing w:line="360" w:lineRule="auto"/>
        <w:jc w:val="both"/>
        <w:rPr>
          <w:rFonts w:ascii="Arial" w:hAnsi="Arial" w:cs="Arial"/>
        </w:rPr>
      </w:pPr>
    </w:p>
    <w:p w:rsidR="00C234CD" w:rsidRDefault="00C234CD" w:rsidP="00D95763">
      <w:pPr>
        <w:spacing w:line="360" w:lineRule="auto"/>
        <w:jc w:val="both"/>
        <w:rPr>
          <w:rFonts w:ascii="Arial" w:hAnsi="Arial" w:cs="Arial"/>
        </w:rPr>
      </w:pPr>
    </w:p>
    <w:p w:rsidR="00FD54E3" w:rsidRPr="00FD54E3" w:rsidRDefault="00FD54E3" w:rsidP="00FD54E3">
      <w:pPr>
        <w:spacing w:line="360" w:lineRule="auto"/>
        <w:jc w:val="center"/>
        <w:rPr>
          <w:rFonts w:ascii="Arial" w:hAnsi="Arial" w:cs="Arial"/>
          <w:b/>
        </w:rPr>
      </w:pPr>
      <w:r w:rsidRPr="00FD54E3">
        <w:rPr>
          <w:rFonts w:ascii="Arial" w:hAnsi="Arial" w:cs="Arial"/>
          <w:b/>
        </w:rPr>
        <w:lastRenderedPageBreak/>
        <w:t>Cuadro 10. Principales tipos de procedimientos quirúrgicos en el sector público de salud de México, 2017.</w:t>
      </w:r>
    </w:p>
    <w:tbl>
      <w:tblPr>
        <w:tblW w:w="9001" w:type="dxa"/>
        <w:tblCellMar>
          <w:left w:w="70" w:type="dxa"/>
          <w:right w:w="70" w:type="dxa"/>
        </w:tblCellMar>
        <w:tblLook w:val="04A0" w:firstRow="1" w:lastRow="0" w:firstColumn="1" w:lastColumn="0" w:noHBand="0" w:noVBand="1"/>
      </w:tblPr>
      <w:tblGrid>
        <w:gridCol w:w="843"/>
        <w:gridCol w:w="2115"/>
        <w:gridCol w:w="1218"/>
        <w:gridCol w:w="876"/>
        <w:gridCol w:w="2731"/>
        <w:gridCol w:w="1218"/>
      </w:tblGrid>
      <w:tr w:rsidR="00167C0E" w:rsidRPr="00167C0E" w:rsidTr="00167C0E">
        <w:trPr>
          <w:trHeight w:val="633"/>
        </w:trPr>
        <w:tc>
          <w:tcPr>
            <w:tcW w:w="843" w:type="dxa"/>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Orden</w:t>
            </w:r>
          </w:p>
        </w:tc>
        <w:tc>
          <w:tcPr>
            <w:tcW w:w="2115" w:type="dxa"/>
            <w:tcBorders>
              <w:top w:val="single" w:sz="4" w:space="0" w:color="auto"/>
              <w:left w:val="nil"/>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Procedimiento</w:t>
            </w:r>
          </w:p>
        </w:tc>
        <w:tc>
          <w:tcPr>
            <w:tcW w:w="1218" w:type="dxa"/>
            <w:tcBorders>
              <w:top w:val="single" w:sz="4" w:space="0" w:color="auto"/>
              <w:left w:val="nil"/>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Frecuencia absoluta</w:t>
            </w:r>
          </w:p>
        </w:tc>
        <w:tc>
          <w:tcPr>
            <w:tcW w:w="876" w:type="dxa"/>
            <w:tcBorders>
              <w:top w:val="single" w:sz="4" w:space="0" w:color="auto"/>
              <w:left w:val="nil"/>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Orden</w:t>
            </w:r>
          </w:p>
        </w:tc>
        <w:tc>
          <w:tcPr>
            <w:tcW w:w="2731" w:type="dxa"/>
            <w:tcBorders>
              <w:top w:val="single" w:sz="4" w:space="0" w:color="auto"/>
              <w:left w:val="nil"/>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Procedimiento</w:t>
            </w:r>
          </w:p>
        </w:tc>
        <w:tc>
          <w:tcPr>
            <w:tcW w:w="1218" w:type="dxa"/>
            <w:tcBorders>
              <w:top w:val="single" w:sz="4" w:space="0" w:color="auto"/>
              <w:left w:val="nil"/>
              <w:bottom w:val="single" w:sz="4" w:space="0" w:color="auto"/>
              <w:right w:val="single" w:sz="4" w:space="0" w:color="auto"/>
            </w:tcBorders>
            <w:shd w:val="clear" w:color="auto" w:fill="D5DCE4" w:themeFill="text2" w:themeFillTint="33"/>
            <w:vAlign w:val="center"/>
            <w:hideMark/>
          </w:tcPr>
          <w:p w:rsidR="00265088" w:rsidRPr="00265088" w:rsidRDefault="00265088" w:rsidP="00167C0E">
            <w:pPr>
              <w:spacing w:after="0" w:line="240" w:lineRule="auto"/>
              <w:jc w:val="center"/>
              <w:rPr>
                <w:rFonts w:ascii="Arial" w:eastAsia="Times New Roman" w:hAnsi="Arial" w:cs="Arial"/>
                <w:b/>
                <w:bCs/>
                <w:color w:val="000000"/>
                <w:sz w:val="20"/>
                <w:szCs w:val="20"/>
                <w:lang w:eastAsia="es-MX"/>
              </w:rPr>
            </w:pPr>
            <w:r w:rsidRPr="00265088">
              <w:rPr>
                <w:rFonts w:ascii="Arial" w:eastAsia="Times New Roman" w:hAnsi="Arial" w:cs="Arial"/>
                <w:b/>
                <w:bCs/>
                <w:color w:val="000000"/>
                <w:sz w:val="20"/>
                <w:szCs w:val="20"/>
                <w:lang w:eastAsia="es-MX"/>
              </w:rPr>
              <w:t>Frecuencia absoluta</w:t>
            </w:r>
          </w:p>
        </w:tc>
      </w:tr>
      <w:tr w:rsidR="00167C0E" w:rsidRPr="00167C0E" w:rsidTr="00167C0E">
        <w:trPr>
          <w:trHeight w:val="316"/>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b/>
                <w:i/>
                <w:color w:val="000000"/>
                <w:sz w:val="20"/>
                <w:szCs w:val="20"/>
                <w:lang w:eastAsia="es-MX"/>
              </w:rPr>
            </w:pPr>
            <w:r w:rsidRPr="00265088">
              <w:rPr>
                <w:rFonts w:ascii="Arial" w:eastAsia="Times New Roman" w:hAnsi="Arial" w:cs="Arial"/>
                <w:b/>
                <w:i/>
                <w:color w:val="000000"/>
                <w:sz w:val="20"/>
                <w:szCs w:val="20"/>
                <w:lang w:eastAsia="es-MX"/>
              </w:rPr>
              <w:t>1</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Cesárea y extracción de feto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325,185</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b/>
                <w:i/>
                <w:color w:val="000000"/>
                <w:sz w:val="20"/>
                <w:szCs w:val="20"/>
                <w:lang w:eastAsia="es-MX"/>
              </w:rPr>
            </w:pPr>
            <w:r w:rsidRPr="00265088">
              <w:rPr>
                <w:rFonts w:ascii="Arial" w:eastAsia="Times New Roman" w:hAnsi="Arial" w:cs="Arial"/>
                <w:b/>
                <w:i/>
                <w:color w:val="000000"/>
                <w:sz w:val="20"/>
                <w:szCs w:val="20"/>
                <w:lang w:eastAsia="es-MX"/>
              </w:rPr>
              <w:t>11</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Otras operaciones sobre la región abdominal</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37,003</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2</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 xml:space="preserve">Operaciones sobre las trompas de </w:t>
            </w:r>
            <w:r w:rsidR="00167C0E" w:rsidRPr="00167C0E">
              <w:rPr>
                <w:rFonts w:ascii="Calibri" w:eastAsia="Times New Roman" w:hAnsi="Calibri" w:cs="Times New Roman"/>
                <w:color w:val="000000"/>
                <w:sz w:val="20"/>
                <w:szCs w:val="20"/>
                <w:lang w:eastAsia="es-MX"/>
              </w:rPr>
              <w:t>Falopio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186,598</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12</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 xml:space="preserve">tra incisión y </w:t>
            </w:r>
            <w:proofErr w:type="spellStart"/>
            <w:r w:rsidR="00265088" w:rsidRPr="00167C0E">
              <w:rPr>
                <w:rFonts w:ascii="Calibri" w:eastAsia="Times New Roman" w:hAnsi="Calibri" w:cs="Times New Roman"/>
                <w:color w:val="000000"/>
                <w:sz w:val="20"/>
                <w:szCs w:val="20"/>
                <w:lang w:eastAsia="es-MX"/>
              </w:rPr>
              <w:t>excisión</w:t>
            </w:r>
            <w:proofErr w:type="spellEnd"/>
            <w:r w:rsidR="00265088" w:rsidRPr="00167C0E">
              <w:rPr>
                <w:rFonts w:ascii="Calibri" w:eastAsia="Times New Roman" w:hAnsi="Calibri" w:cs="Times New Roman"/>
                <w:color w:val="000000"/>
                <w:sz w:val="20"/>
                <w:szCs w:val="20"/>
                <w:lang w:eastAsia="es-MX"/>
              </w:rPr>
              <w:t xml:space="preserve"> del útero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28,044</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3</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Otros procedimientos para la inducción o asistencia al parto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123,754</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13</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la vulva y el perineo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26,035</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4</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Otras operaciones sobre el útero y sus estructuras de soporte</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109,385</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14</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el cristalino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23,287</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5</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Reducción de fractura y luxación</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67,537</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15</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 xml:space="preserve">tros procedimientos sobre aparato </w:t>
            </w:r>
            <w:proofErr w:type="spellStart"/>
            <w:r w:rsidR="00265088" w:rsidRPr="00167C0E">
              <w:rPr>
                <w:rFonts w:ascii="Calibri" w:eastAsia="Times New Roman" w:hAnsi="Calibri" w:cs="Times New Roman"/>
                <w:color w:val="000000"/>
                <w:sz w:val="20"/>
                <w:szCs w:val="20"/>
                <w:lang w:eastAsia="es-MX"/>
              </w:rPr>
              <w:t>musculoesquelético</w:t>
            </w:r>
            <w:proofErr w:type="spellEnd"/>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15,045</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6</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Operaciones sobre vesícula biliar y tracto biliar</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64,847</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16</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los ovarios</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13,958</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7</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Operaciones sobre piel y tejido subcutáneo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62,055</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17</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tras operaciones de huesos, salvo huesos faciales</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11,636</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8</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Otras operaciones obstétricas</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60,872</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18</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músculo, tendón, fascia y bolsa sinovial salvo de la mano</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10,658</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9</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Operación sobre apéndice</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54,907</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19</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la mama</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9,985</w:t>
            </w:r>
          </w:p>
        </w:tc>
      </w:tr>
      <w:tr w:rsidR="00167C0E" w:rsidRPr="00167C0E" w:rsidTr="00167C0E">
        <w:trPr>
          <w:trHeight w:val="301"/>
        </w:trPr>
        <w:tc>
          <w:tcPr>
            <w:tcW w:w="843" w:type="dxa"/>
            <w:tcBorders>
              <w:top w:val="nil"/>
              <w:left w:val="single" w:sz="4" w:space="0" w:color="auto"/>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10</w:t>
            </w:r>
          </w:p>
        </w:tc>
        <w:tc>
          <w:tcPr>
            <w:tcW w:w="2115"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Reparación de hernia</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47,841</w:t>
            </w:r>
          </w:p>
        </w:tc>
        <w:tc>
          <w:tcPr>
            <w:tcW w:w="876"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Calibri" w:eastAsia="Times New Roman" w:hAnsi="Calibri" w:cs="Times New Roman"/>
                <w:b/>
                <w:i/>
                <w:color w:val="000000"/>
                <w:sz w:val="20"/>
                <w:szCs w:val="20"/>
                <w:lang w:eastAsia="es-MX"/>
              </w:rPr>
            </w:pPr>
            <w:r w:rsidRPr="00265088">
              <w:rPr>
                <w:rFonts w:ascii="Calibri" w:eastAsia="Times New Roman" w:hAnsi="Calibri" w:cs="Times New Roman"/>
                <w:b/>
                <w:i/>
                <w:color w:val="000000"/>
                <w:sz w:val="20"/>
                <w:szCs w:val="20"/>
                <w:lang w:eastAsia="es-MX"/>
              </w:rPr>
              <w:t>20</w:t>
            </w:r>
          </w:p>
        </w:tc>
        <w:tc>
          <w:tcPr>
            <w:tcW w:w="2731" w:type="dxa"/>
            <w:tcBorders>
              <w:top w:val="nil"/>
              <w:left w:val="nil"/>
              <w:bottom w:val="single" w:sz="4" w:space="0" w:color="auto"/>
              <w:right w:val="single" w:sz="4" w:space="0" w:color="auto"/>
            </w:tcBorders>
            <w:shd w:val="clear" w:color="auto" w:fill="auto"/>
            <w:noWrap/>
            <w:vAlign w:val="center"/>
            <w:hideMark/>
          </w:tcPr>
          <w:p w:rsidR="00265088" w:rsidRPr="00265088" w:rsidRDefault="00167C0E" w:rsidP="00167C0E">
            <w:pPr>
              <w:spacing w:after="0" w:line="240" w:lineRule="auto"/>
              <w:rPr>
                <w:rFonts w:ascii="Calibri" w:eastAsia="Times New Roman" w:hAnsi="Calibri" w:cs="Times New Roman"/>
                <w:color w:val="000000"/>
                <w:sz w:val="20"/>
                <w:szCs w:val="20"/>
                <w:lang w:eastAsia="es-MX"/>
              </w:rPr>
            </w:pPr>
            <w:r w:rsidRPr="00167C0E">
              <w:rPr>
                <w:rFonts w:ascii="Calibri" w:eastAsia="Times New Roman" w:hAnsi="Calibri" w:cs="Times New Roman"/>
                <w:color w:val="000000"/>
                <w:sz w:val="20"/>
                <w:szCs w:val="20"/>
                <w:lang w:eastAsia="es-MX"/>
              </w:rPr>
              <w:t>O</w:t>
            </w:r>
            <w:r w:rsidR="00265088" w:rsidRPr="00167C0E">
              <w:rPr>
                <w:rFonts w:ascii="Calibri" w:eastAsia="Times New Roman" w:hAnsi="Calibri" w:cs="Times New Roman"/>
                <w:color w:val="000000"/>
                <w:sz w:val="20"/>
                <w:szCs w:val="20"/>
                <w:lang w:eastAsia="es-MX"/>
              </w:rPr>
              <w:t>peraciones sobre médula espinal y estructuras del conducto espinal</w:t>
            </w:r>
          </w:p>
        </w:tc>
        <w:tc>
          <w:tcPr>
            <w:tcW w:w="1218" w:type="dxa"/>
            <w:tcBorders>
              <w:top w:val="nil"/>
              <w:left w:val="nil"/>
              <w:bottom w:val="single" w:sz="4" w:space="0" w:color="auto"/>
              <w:right w:val="single" w:sz="4" w:space="0" w:color="auto"/>
            </w:tcBorders>
            <w:shd w:val="clear" w:color="auto" w:fill="auto"/>
            <w:noWrap/>
            <w:vAlign w:val="center"/>
            <w:hideMark/>
          </w:tcPr>
          <w:p w:rsidR="00265088" w:rsidRPr="00265088" w:rsidRDefault="00265088" w:rsidP="00167C0E">
            <w:pPr>
              <w:spacing w:after="0" w:line="240" w:lineRule="auto"/>
              <w:jc w:val="center"/>
              <w:rPr>
                <w:rFonts w:ascii="Arial" w:eastAsia="Times New Roman" w:hAnsi="Arial" w:cs="Arial"/>
                <w:color w:val="000000"/>
                <w:sz w:val="20"/>
                <w:szCs w:val="20"/>
                <w:lang w:eastAsia="es-MX"/>
              </w:rPr>
            </w:pPr>
            <w:r w:rsidRPr="00265088">
              <w:rPr>
                <w:rFonts w:ascii="Arial" w:eastAsia="Times New Roman" w:hAnsi="Arial" w:cs="Arial"/>
                <w:color w:val="000000"/>
                <w:sz w:val="20"/>
                <w:szCs w:val="20"/>
                <w:lang w:eastAsia="es-MX"/>
              </w:rPr>
              <w:t>9,386</w:t>
            </w:r>
          </w:p>
        </w:tc>
      </w:tr>
    </w:tbl>
    <w:p w:rsidR="00265088" w:rsidRPr="00FD54E3" w:rsidRDefault="00FD54E3" w:rsidP="00F934E1">
      <w:pPr>
        <w:spacing w:line="360" w:lineRule="auto"/>
        <w:ind w:firstLine="708"/>
        <w:jc w:val="center"/>
        <w:rPr>
          <w:rFonts w:ascii="Arial" w:hAnsi="Arial" w:cs="Arial"/>
          <w:sz w:val="18"/>
        </w:rPr>
      </w:pPr>
      <w:r w:rsidRPr="00FD54E3">
        <w:rPr>
          <w:rFonts w:ascii="Arial" w:hAnsi="Arial" w:cs="Arial"/>
          <w:b/>
          <w:sz w:val="18"/>
        </w:rPr>
        <w:t>Fuente:</w:t>
      </w:r>
      <w:r w:rsidRPr="00FD54E3">
        <w:rPr>
          <w:rFonts w:ascii="Arial" w:hAnsi="Arial" w:cs="Arial"/>
          <w:sz w:val="18"/>
        </w:rPr>
        <w:t xml:space="preserve"> Elaboración propia con base en SSA (s.f. a).</w:t>
      </w:r>
    </w:p>
    <w:p w:rsidR="00D95763" w:rsidRDefault="007E1312" w:rsidP="00D95763">
      <w:pPr>
        <w:spacing w:line="360" w:lineRule="auto"/>
        <w:jc w:val="both"/>
        <w:rPr>
          <w:rFonts w:ascii="Arial" w:hAnsi="Arial" w:cs="Arial"/>
        </w:rPr>
      </w:pPr>
      <w:r w:rsidRPr="007E1312">
        <w:rPr>
          <w:rFonts w:ascii="Arial" w:hAnsi="Arial" w:cs="Arial"/>
        </w:rPr>
        <w:t>Por otro lado, es importante notar la inequitativa dis</w:t>
      </w:r>
      <w:r>
        <w:rPr>
          <w:rFonts w:ascii="Arial" w:hAnsi="Arial" w:cs="Arial"/>
        </w:rPr>
        <w:t>tribución geográfica de los especialistas cirujanos, servicios otorgados y recursos asociados</w:t>
      </w:r>
      <w:r w:rsidR="00FD54E3">
        <w:rPr>
          <w:rFonts w:ascii="Arial" w:hAnsi="Arial" w:cs="Arial"/>
        </w:rPr>
        <w:t xml:space="preserve"> (Cuadro 11)</w:t>
      </w:r>
      <w:r>
        <w:rPr>
          <w:rFonts w:ascii="Arial" w:hAnsi="Arial" w:cs="Arial"/>
        </w:rPr>
        <w:t>. La entidad con mayor volumen de estos especialistas es la Ciudad de México (1,480), seguido por el Estado de México (951) y Veracruz (</w:t>
      </w:r>
      <w:r w:rsidRPr="007E1312">
        <w:rPr>
          <w:rFonts w:ascii="Arial" w:hAnsi="Arial" w:cs="Arial"/>
        </w:rPr>
        <w:t>543)</w:t>
      </w:r>
      <w:r w:rsidR="0034209C">
        <w:rPr>
          <w:rFonts w:ascii="Arial" w:hAnsi="Arial" w:cs="Arial"/>
        </w:rPr>
        <w:t>; en cambio, Colima, Campeche y Nayarit son las entidades con menor volumen de dichos especialistas (82, 81 y 73, respectivamente)</w:t>
      </w:r>
      <w:r w:rsidR="00FD54E3">
        <w:rPr>
          <w:rStyle w:val="Refdenotaalpie"/>
          <w:rFonts w:ascii="Arial" w:hAnsi="Arial" w:cs="Arial"/>
        </w:rPr>
        <w:footnoteReference w:id="49"/>
      </w:r>
      <w:r w:rsidR="0034209C">
        <w:rPr>
          <w:rFonts w:ascii="Arial" w:hAnsi="Arial" w:cs="Arial"/>
        </w:rPr>
        <w:t>. En términos poblaciones, la Ciudad de México mantiene su hegemonía al haber 1.64 especialistas cirujanos por cada 10,000 habitantes; Baja California Sur es la segunda entidad con mayor número de cirujanos según su población (1.26); sin embargo, Jalisco, Querétaro y Sinaloa son aquellos estados con menores tasas de especialistas</w:t>
      </w:r>
      <w:r w:rsidR="00FD54E3">
        <w:rPr>
          <w:rStyle w:val="Refdenotaalpie"/>
          <w:rFonts w:ascii="Arial" w:hAnsi="Arial" w:cs="Arial"/>
        </w:rPr>
        <w:footnoteReference w:id="50"/>
      </w:r>
      <w:r w:rsidR="0034209C">
        <w:rPr>
          <w:rFonts w:ascii="Arial" w:hAnsi="Arial" w:cs="Arial"/>
        </w:rPr>
        <w:t xml:space="preserve">. Al respecto, </w:t>
      </w:r>
      <w:r w:rsidR="00D95763">
        <w:rPr>
          <w:rFonts w:ascii="Arial" w:hAnsi="Arial" w:cs="Arial"/>
        </w:rPr>
        <w:t xml:space="preserve">Fajardo, Santacruz </w:t>
      </w:r>
      <w:r w:rsidR="00D95763">
        <w:rPr>
          <w:rFonts w:ascii="Arial" w:hAnsi="Arial" w:cs="Arial"/>
        </w:rPr>
        <w:lastRenderedPageBreak/>
        <w:t xml:space="preserve">y Hernández exponen que el sector público no </w:t>
      </w:r>
      <w:r w:rsidR="0034209C">
        <w:rPr>
          <w:rFonts w:ascii="Arial" w:hAnsi="Arial" w:cs="Arial"/>
        </w:rPr>
        <w:t xml:space="preserve">ha tenido </w:t>
      </w:r>
      <w:r w:rsidR="00D95763">
        <w:rPr>
          <w:rFonts w:ascii="Arial" w:hAnsi="Arial" w:cs="Arial"/>
        </w:rPr>
        <w:t>la capacidad suficiente para retener a los especialistas:</w:t>
      </w:r>
    </w:p>
    <w:p w:rsidR="00D95763" w:rsidRPr="00FD54E3" w:rsidRDefault="00D95763" w:rsidP="00D95763">
      <w:pPr>
        <w:spacing w:line="360" w:lineRule="auto"/>
        <w:ind w:left="708"/>
        <w:jc w:val="both"/>
        <w:rPr>
          <w:rFonts w:ascii="Arial" w:hAnsi="Arial" w:cs="Arial"/>
          <w:sz w:val="20"/>
        </w:rPr>
      </w:pPr>
      <w:r w:rsidRPr="00FD54E3">
        <w:rPr>
          <w:rFonts w:ascii="Arial" w:hAnsi="Arial" w:cs="Arial"/>
          <w:i/>
          <w:sz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FD54E3">
        <w:rPr>
          <w:rFonts w:ascii="Arial" w:hAnsi="Arial" w:cs="Arial"/>
          <w:sz w:val="20"/>
        </w:rPr>
        <w:t>”</w:t>
      </w:r>
      <w:r w:rsidR="00FD54E3">
        <w:rPr>
          <w:rFonts w:ascii="Arial" w:hAnsi="Arial" w:cs="Arial"/>
          <w:sz w:val="20"/>
        </w:rPr>
        <w:t xml:space="preserve"> (p. 46)</w:t>
      </w:r>
      <w:r w:rsidR="00FD54E3">
        <w:rPr>
          <w:rStyle w:val="Refdenotaalpie"/>
          <w:rFonts w:ascii="Arial" w:hAnsi="Arial" w:cs="Arial"/>
          <w:sz w:val="20"/>
        </w:rPr>
        <w:footnoteReference w:id="51"/>
      </w:r>
    </w:p>
    <w:p w:rsidR="00F934E1" w:rsidRDefault="0034209C" w:rsidP="0034209C">
      <w:pPr>
        <w:spacing w:line="360" w:lineRule="auto"/>
        <w:jc w:val="both"/>
        <w:rPr>
          <w:rFonts w:ascii="Arial" w:hAnsi="Arial" w:cs="Arial"/>
        </w:rPr>
      </w:pPr>
      <w:r>
        <w:rPr>
          <w:rFonts w:ascii="Arial" w:hAnsi="Arial" w:cs="Arial"/>
        </w:rPr>
        <w:t>Aunado a lo anterior, la Ciudad de México, el Estado de México y Jalisco son las entidades con mayor porcentaje de intervenciones quirúrgicas (12.2%, 8.3% y 6.8%, correspondientemente); al respecto destaca el caso de Jalisco, pues es una de las entidades con menor tasa de especialistas según el volumen de su población, lo cual señala una alta carga de trabajo para los cirujanos dentro de la entidad</w:t>
      </w:r>
      <w:r w:rsidR="00FD54E3">
        <w:rPr>
          <w:rStyle w:val="Refdenotaalpie"/>
          <w:rFonts w:ascii="Arial" w:hAnsi="Arial" w:cs="Arial"/>
        </w:rPr>
        <w:footnoteReference w:id="52"/>
      </w:r>
      <w:r>
        <w:rPr>
          <w:rFonts w:ascii="Arial" w:hAnsi="Arial" w:cs="Arial"/>
        </w:rPr>
        <w:t>. Respecto al número de quirófanos disponibles, nuevamente la Ciudad de México es la que tiene mayor tasa (0.72 por cada 10,000 habitantes), en contraste, el Estado de México es la entidad con menor relación de quirófanos según su volumen poblacional, tan sólo 0.19</w:t>
      </w:r>
      <w:r w:rsidR="00FD54E3">
        <w:rPr>
          <w:rStyle w:val="Refdenotaalpie"/>
          <w:rFonts w:ascii="Arial" w:hAnsi="Arial" w:cs="Arial"/>
        </w:rPr>
        <w:footnoteReference w:id="53"/>
      </w:r>
      <w:r>
        <w:rPr>
          <w:rFonts w:ascii="Arial" w:hAnsi="Arial" w:cs="Arial"/>
        </w:rPr>
        <w:t xml:space="preserve">. </w:t>
      </w:r>
    </w:p>
    <w:p w:rsidR="0034209C" w:rsidRDefault="0034209C" w:rsidP="0034209C">
      <w:pPr>
        <w:spacing w:line="360" w:lineRule="auto"/>
        <w:jc w:val="both"/>
        <w:rPr>
          <w:rFonts w:ascii="Arial" w:hAnsi="Arial" w:cs="Arial"/>
        </w:rPr>
      </w:pPr>
      <w:r>
        <w:rPr>
          <w:rFonts w:ascii="Arial" w:hAnsi="Arial" w:cs="Arial"/>
        </w:rPr>
        <w:t>En cuanto al número de camas de cirugía, no es de extrañar que la Ciudad de México sea la de mayor número de recursos (2.27 camas por cada 10,000 habitantes); le siguen Colima y Baja California Sur (1.78 y 1.71 camas); en cambio, Jalisco, Sinaloa y Tamaulipas son la de menor tasa con 0.07 para las primeras dos y 0.06 para la última</w:t>
      </w:r>
      <w:r w:rsidR="00FD54E3">
        <w:rPr>
          <w:rStyle w:val="Refdenotaalpie"/>
          <w:rFonts w:ascii="Arial" w:hAnsi="Arial" w:cs="Arial"/>
        </w:rPr>
        <w:footnoteReference w:id="54"/>
      </w:r>
      <w:r>
        <w:rPr>
          <w:rFonts w:ascii="Arial" w:hAnsi="Arial" w:cs="Arial"/>
        </w:rPr>
        <w:t xml:space="preserve">. </w:t>
      </w:r>
    </w:p>
    <w:p w:rsidR="00F934E1" w:rsidRDefault="00F934E1" w:rsidP="00D95763">
      <w:pPr>
        <w:spacing w:line="360" w:lineRule="auto"/>
        <w:jc w:val="center"/>
        <w:rPr>
          <w:rFonts w:ascii="Arial" w:hAnsi="Arial" w:cs="Arial"/>
          <w:b/>
        </w:rPr>
      </w:pPr>
    </w:p>
    <w:p w:rsidR="00F934E1" w:rsidRDefault="00F934E1" w:rsidP="00D95763">
      <w:pPr>
        <w:spacing w:line="360" w:lineRule="auto"/>
        <w:jc w:val="center"/>
        <w:rPr>
          <w:rFonts w:ascii="Arial" w:hAnsi="Arial" w:cs="Arial"/>
          <w:b/>
        </w:rPr>
      </w:pPr>
    </w:p>
    <w:p w:rsidR="00F934E1" w:rsidRDefault="00F934E1" w:rsidP="00D95763">
      <w:pPr>
        <w:spacing w:line="360" w:lineRule="auto"/>
        <w:jc w:val="center"/>
        <w:rPr>
          <w:rFonts w:ascii="Arial" w:hAnsi="Arial" w:cs="Arial"/>
          <w:b/>
        </w:rPr>
      </w:pPr>
    </w:p>
    <w:p w:rsidR="00F934E1" w:rsidRDefault="00F934E1" w:rsidP="00D95763">
      <w:pPr>
        <w:spacing w:line="360" w:lineRule="auto"/>
        <w:jc w:val="center"/>
        <w:rPr>
          <w:rFonts w:ascii="Arial" w:hAnsi="Arial" w:cs="Arial"/>
          <w:b/>
        </w:rPr>
      </w:pPr>
    </w:p>
    <w:p w:rsidR="00D95763" w:rsidRPr="004F18ED" w:rsidRDefault="00D95763" w:rsidP="00D95763">
      <w:pPr>
        <w:spacing w:line="360" w:lineRule="auto"/>
        <w:jc w:val="center"/>
        <w:rPr>
          <w:rFonts w:ascii="Arial" w:hAnsi="Arial" w:cs="Arial"/>
          <w:b/>
        </w:rPr>
      </w:pPr>
      <w:r w:rsidRPr="004F18ED">
        <w:rPr>
          <w:rFonts w:ascii="Arial" w:hAnsi="Arial" w:cs="Arial"/>
          <w:b/>
        </w:rPr>
        <w:lastRenderedPageBreak/>
        <w:t>Cuadro</w:t>
      </w:r>
      <w:r w:rsidR="001A4EE8">
        <w:rPr>
          <w:rFonts w:ascii="Arial" w:hAnsi="Arial" w:cs="Arial"/>
          <w:b/>
        </w:rPr>
        <w:t xml:space="preserve"> 11</w:t>
      </w:r>
      <w:r w:rsidRPr="004F18ED">
        <w:rPr>
          <w:rFonts w:ascii="Arial" w:hAnsi="Arial" w:cs="Arial"/>
          <w:b/>
        </w:rPr>
        <w:t xml:space="preserve">. Indicadores diversos en relación con la especialidad de </w:t>
      </w:r>
      <w:r w:rsidR="007E1312">
        <w:rPr>
          <w:rFonts w:ascii="Arial" w:hAnsi="Arial" w:cs="Arial"/>
          <w:b/>
        </w:rPr>
        <w:t>Cirugía</w:t>
      </w:r>
      <w:r w:rsidRPr="004F18ED">
        <w:rPr>
          <w:rFonts w:ascii="Arial" w:hAnsi="Arial" w:cs="Arial"/>
          <w:b/>
        </w:rPr>
        <w:t xml:space="preserve"> en el sector público de México</w:t>
      </w:r>
      <w:r w:rsidR="00FD54E3">
        <w:rPr>
          <w:rFonts w:ascii="Arial" w:hAnsi="Arial" w:cs="Arial"/>
          <w:b/>
        </w:rPr>
        <w:t>,</w:t>
      </w:r>
      <w:r w:rsidRPr="004F18ED">
        <w:rPr>
          <w:rFonts w:ascii="Arial" w:hAnsi="Arial" w:cs="Arial"/>
          <w:b/>
        </w:rPr>
        <w:t xml:space="preserve"> 2017.</w:t>
      </w:r>
    </w:p>
    <w:tbl>
      <w:tblPr>
        <w:tblW w:w="7826" w:type="dxa"/>
        <w:jc w:val="center"/>
        <w:tblCellMar>
          <w:left w:w="70" w:type="dxa"/>
          <w:right w:w="70" w:type="dxa"/>
        </w:tblCellMar>
        <w:tblLook w:val="04A0" w:firstRow="1" w:lastRow="0" w:firstColumn="1" w:lastColumn="0" w:noHBand="0" w:noVBand="1"/>
      </w:tblPr>
      <w:tblGrid>
        <w:gridCol w:w="2210"/>
        <w:gridCol w:w="1404"/>
        <w:gridCol w:w="1404"/>
        <w:gridCol w:w="1404"/>
        <w:gridCol w:w="1404"/>
      </w:tblGrid>
      <w:tr w:rsidR="0039118B" w:rsidRPr="0039118B" w:rsidTr="00066F76">
        <w:trPr>
          <w:trHeight w:val="1275"/>
          <w:tblHeader/>
          <w:jc w:val="center"/>
        </w:trPr>
        <w:tc>
          <w:tcPr>
            <w:tcW w:w="2210"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39118B" w:rsidRPr="0039118B" w:rsidRDefault="0039118B" w:rsidP="007E1312">
            <w:pPr>
              <w:spacing w:after="0" w:line="240" w:lineRule="auto"/>
              <w:jc w:val="center"/>
              <w:rPr>
                <w:rFonts w:ascii="Calibri" w:eastAsia="Times New Roman" w:hAnsi="Calibri" w:cs="Times New Roman"/>
                <w:b/>
                <w:bCs/>
                <w:color w:val="000000"/>
                <w:sz w:val="20"/>
                <w:szCs w:val="20"/>
                <w:lang w:eastAsia="es-MX"/>
              </w:rPr>
            </w:pPr>
            <w:r w:rsidRPr="0039118B">
              <w:rPr>
                <w:rFonts w:ascii="Calibri" w:eastAsia="Times New Roman" w:hAnsi="Calibri" w:cs="Times New Roman"/>
                <w:b/>
                <w:bCs/>
                <w:color w:val="000000"/>
                <w:sz w:val="20"/>
                <w:szCs w:val="20"/>
                <w:lang w:eastAsia="es-MX"/>
              </w:rPr>
              <w:t>Entidad</w:t>
            </w:r>
          </w:p>
        </w:tc>
        <w:tc>
          <w:tcPr>
            <w:tcW w:w="1404" w:type="dxa"/>
            <w:tcBorders>
              <w:top w:val="single" w:sz="4" w:space="0" w:color="auto"/>
              <w:left w:val="nil"/>
              <w:bottom w:val="single" w:sz="4" w:space="0" w:color="auto"/>
              <w:right w:val="single" w:sz="4" w:space="0" w:color="auto"/>
            </w:tcBorders>
            <w:shd w:val="clear" w:color="DDEBF7" w:fill="DDEBF7"/>
            <w:vAlign w:val="center"/>
          </w:tcPr>
          <w:p w:rsidR="0039118B" w:rsidRPr="0039118B" w:rsidRDefault="0039118B" w:rsidP="00FD54E3">
            <w:pPr>
              <w:spacing w:after="0" w:line="240" w:lineRule="auto"/>
              <w:jc w:val="center"/>
              <w:rPr>
                <w:rFonts w:ascii="Calibri" w:eastAsia="Times New Roman" w:hAnsi="Calibri" w:cs="Times New Roman"/>
                <w:b/>
                <w:bCs/>
                <w:color w:val="000000"/>
                <w:sz w:val="20"/>
                <w:szCs w:val="20"/>
                <w:lang w:eastAsia="es-MX"/>
              </w:rPr>
            </w:pPr>
            <w:r w:rsidRPr="0039118B">
              <w:rPr>
                <w:rFonts w:ascii="Calibri" w:eastAsia="Times New Roman" w:hAnsi="Calibri" w:cs="Times New Roman"/>
                <w:b/>
                <w:bCs/>
                <w:color w:val="000000"/>
                <w:sz w:val="20"/>
                <w:szCs w:val="20"/>
                <w:lang w:eastAsia="es-MX"/>
              </w:rPr>
              <w:t xml:space="preserve">Porcentaje de servicios otorgados </w:t>
            </w:r>
          </w:p>
        </w:tc>
        <w:tc>
          <w:tcPr>
            <w:tcW w:w="1404"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39118B" w:rsidRPr="0039118B" w:rsidRDefault="0039118B" w:rsidP="007E1312">
            <w:pPr>
              <w:spacing w:after="0" w:line="240" w:lineRule="auto"/>
              <w:jc w:val="center"/>
              <w:rPr>
                <w:rFonts w:ascii="Calibri" w:eastAsia="Times New Roman" w:hAnsi="Calibri" w:cs="Times New Roman"/>
                <w:b/>
                <w:bCs/>
                <w:color w:val="000000"/>
                <w:sz w:val="20"/>
                <w:szCs w:val="20"/>
                <w:lang w:eastAsia="es-MX"/>
              </w:rPr>
            </w:pPr>
            <w:r w:rsidRPr="0039118B">
              <w:rPr>
                <w:rFonts w:ascii="Calibri" w:eastAsia="Times New Roman" w:hAnsi="Calibri" w:cs="Times New Roman"/>
                <w:b/>
                <w:bCs/>
                <w:color w:val="000000"/>
                <w:sz w:val="20"/>
                <w:szCs w:val="20"/>
                <w:lang w:eastAsia="es-MX"/>
              </w:rPr>
              <w:t>Número de quirófanos por 10,000 habitantes</w:t>
            </w:r>
          </w:p>
        </w:tc>
        <w:tc>
          <w:tcPr>
            <w:tcW w:w="1404" w:type="dxa"/>
            <w:tcBorders>
              <w:top w:val="single" w:sz="4" w:space="0" w:color="auto"/>
              <w:left w:val="nil"/>
              <w:bottom w:val="single" w:sz="4" w:space="0" w:color="auto"/>
              <w:right w:val="single" w:sz="4" w:space="0" w:color="auto"/>
            </w:tcBorders>
            <w:shd w:val="clear" w:color="DDEBF7" w:fill="DDEBF7"/>
            <w:vAlign w:val="center"/>
            <w:hideMark/>
          </w:tcPr>
          <w:p w:rsidR="0039118B" w:rsidRPr="0039118B" w:rsidRDefault="0039118B" w:rsidP="0039118B">
            <w:pPr>
              <w:spacing w:after="0" w:line="240" w:lineRule="auto"/>
              <w:jc w:val="center"/>
              <w:rPr>
                <w:rFonts w:ascii="Calibri" w:eastAsia="Times New Roman" w:hAnsi="Calibri" w:cs="Times New Roman"/>
                <w:b/>
                <w:bCs/>
                <w:color w:val="000000"/>
                <w:sz w:val="20"/>
                <w:szCs w:val="20"/>
                <w:lang w:eastAsia="es-MX"/>
              </w:rPr>
            </w:pPr>
            <w:r w:rsidRPr="0039118B">
              <w:rPr>
                <w:rFonts w:ascii="Calibri" w:eastAsia="Times New Roman" w:hAnsi="Calibri" w:cs="Times New Roman"/>
                <w:b/>
                <w:bCs/>
                <w:color w:val="000000"/>
                <w:sz w:val="20"/>
                <w:szCs w:val="20"/>
                <w:lang w:eastAsia="es-MX"/>
              </w:rPr>
              <w:t>Número de camas de Cirugía por 10,000 habitantes</w:t>
            </w:r>
          </w:p>
        </w:tc>
        <w:tc>
          <w:tcPr>
            <w:tcW w:w="1404" w:type="dxa"/>
            <w:tcBorders>
              <w:top w:val="single" w:sz="4" w:space="0" w:color="auto"/>
              <w:left w:val="nil"/>
              <w:bottom w:val="single" w:sz="4" w:space="0" w:color="auto"/>
              <w:right w:val="single" w:sz="4" w:space="0" w:color="auto"/>
            </w:tcBorders>
            <w:shd w:val="clear" w:color="DDEBF7" w:fill="DDEBF7"/>
            <w:vAlign w:val="center"/>
            <w:hideMark/>
          </w:tcPr>
          <w:p w:rsidR="0039118B" w:rsidRPr="0039118B" w:rsidRDefault="0039118B" w:rsidP="007E1312">
            <w:pPr>
              <w:spacing w:after="0" w:line="240" w:lineRule="auto"/>
              <w:jc w:val="center"/>
              <w:rPr>
                <w:rFonts w:ascii="Calibri" w:eastAsia="Times New Roman" w:hAnsi="Calibri" w:cs="Times New Roman"/>
                <w:b/>
                <w:bCs/>
                <w:color w:val="000000"/>
                <w:sz w:val="20"/>
                <w:szCs w:val="20"/>
                <w:lang w:eastAsia="es-MX"/>
              </w:rPr>
            </w:pPr>
            <w:r w:rsidRPr="0039118B">
              <w:rPr>
                <w:rFonts w:ascii="Calibri" w:eastAsia="Times New Roman" w:hAnsi="Calibri" w:cs="Times New Roman"/>
                <w:b/>
                <w:bCs/>
                <w:color w:val="000000"/>
                <w:sz w:val="20"/>
                <w:szCs w:val="20"/>
                <w:lang w:eastAsia="es-MX"/>
              </w:rPr>
              <w:t>Número de Cirujanos por 10,000 habitantes</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Aguascalientes</w:t>
            </w:r>
          </w:p>
        </w:tc>
        <w:tc>
          <w:tcPr>
            <w:tcW w:w="1404" w:type="dxa"/>
            <w:tcBorders>
              <w:top w:val="single" w:sz="4" w:space="0" w:color="auto"/>
              <w:left w:val="nil"/>
              <w:bottom w:val="single" w:sz="4" w:space="0" w:color="auto"/>
              <w:right w:val="single" w:sz="4" w:space="0" w:color="auto"/>
            </w:tcBorders>
            <w:vAlign w:val="bottom"/>
          </w:tcPr>
          <w:p w:rsidR="0039118B" w:rsidRPr="0039118B" w:rsidRDefault="0039118B" w:rsidP="007E1312">
            <w:pPr>
              <w:jc w:val="center"/>
              <w:rPr>
                <w:rFonts w:ascii="Calibri" w:hAnsi="Calibri"/>
                <w:color w:val="000000"/>
                <w:sz w:val="20"/>
                <w:szCs w:val="20"/>
              </w:rPr>
            </w:pPr>
            <w:r w:rsidRPr="0039118B">
              <w:rPr>
                <w:rFonts w:ascii="Calibri" w:hAnsi="Calibri"/>
                <w:color w:val="000000"/>
                <w:sz w:val="20"/>
                <w:szCs w:val="20"/>
              </w:rPr>
              <w:t>1.5%</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1.30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0.71</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Baja California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4.8%</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0.62</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Baja California Sur</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0.9%</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1.71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1.26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Campeche</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1.0%</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0.47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1.33</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0.85</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Chiapas</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2.9%</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0.82</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Chihuahua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2.8%</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1.59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0.72</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CDMX</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12.2%</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0.72</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2.27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1.64</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Coahuila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0.47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1.48</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0.87</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Colima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0.48</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1.78</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1.10</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Durango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0.35</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1.66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0.84</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Guanajuato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6.7%</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0.28</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Guerrero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2.4%</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1.19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0.69</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Hidalgo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2.1%</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0.73</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0.59</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Jalisco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6.8%</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0.33</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0.54</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México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8.3%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Michoacán</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3.3%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0.71</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Morelos</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0.25</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0.83</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Nayarit</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0.9%</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0.59</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Nuevo León</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4.4%</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0.58</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Oaxaca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1.9%</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0.64</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Puebla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6.3%</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Querétaro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1.4%</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0.50</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Quintana Roo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1.2%</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0.69</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Sinaloa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2.2%</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0.46</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lastRenderedPageBreak/>
              <w:t>SLP</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3.1%</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0.43</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0.80</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Sonora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2.7%</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0.51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0.10</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0.87</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Tabasco</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1.7%</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0.68</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Tamaulipas</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3.5%</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0.06</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0.88</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Tlaxcala</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0.27</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0.12</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0.81</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Veracruz</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5.9%</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0.09</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0.65</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Yucatán</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1.5%</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0.34</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0.14</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0.72</w:t>
            </w:r>
          </w:p>
        </w:tc>
      </w:tr>
      <w:tr w:rsidR="0039118B" w:rsidRPr="0039118B" w:rsidTr="00066F76">
        <w:trPr>
          <w:trHeight w:val="301"/>
          <w:jc w:val="center"/>
        </w:trPr>
        <w:tc>
          <w:tcPr>
            <w:tcW w:w="2210" w:type="dxa"/>
            <w:tcBorders>
              <w:top w:val="nil"/>
              <w:left w:val="single" w:sz="4" w:space="0" w:color="auto"/>
              <w:bottom w:val="single" w:sz="4" w:space="0" w:color="auto"/>
              <w:right w:val="single" w:sz="4" w:space="0" w:color="auto"/>
            </w:tcBorders>
            <w:shd w:val="clear" w:color="auto" w:fill="auto"/>
            <w:noWrap/>
            <w:vAlign w:val="center"/>
            <w:hideMark/>
          </w:tcPr>
          <w:p w:rsidR="0039118B" w:rsidRPr="0039118B" w:rsidRDefault="0039118B" w:rsidP="003136C8">
            <w:pPr>
              <w:spacing w:after="0" w:line="240" w:lineRule="auto"/>
              <w:jc w:val="center"/>
              <w:rPr>
                <w:rFonts w:ascii="Calibri" w:eastAsia="Times New Roman" w:hAnsi="Calibri" w:cs="Times New Roman"/>
                <w:color w:val="000000"/>
                <w:sz w:val="20"/>
                <w:szCs w:val="20"/>
                <w:lang w:eastAsia="es-MX"/>
              </w:rPr>
            </w:pPr>
            <w:r w:rsidRPr="0039118B">
              <w:rPr>
                <w:rFonts w:ascii="Calibri" w:eastAsia="Times New Roman" w:hAnsi="Calibri" w:cs="Times New Roman"/>
                <w:color w:val="000000"/>
                <w:sz w:val="20"/>
                <w:szCs w:val="20"/>
                <w:lang w:eastAsia="es-MX"/>
              </w:rPr>
              <w:t>Zacatecas</w:t>
            </w:r>
          </w:p>
        </w:tc>
        <w:tc>
          <w:tcPr>
            <w:tcW w:w="1404" w:type="dxa"/>
            <w:tcBorders>
              <w:top w:val="single" w:sz="4" w:space="0" w:color="auto"/>
              <w:left w:val="nil"/>
              <w:bottom w:val="single" w:sz="4" w:space="0" w:color="auto"/>
              <w:right w:val="single" w:sz="4" w:space="0" w:color="auto"/>
            </w:tcBorders>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1.4%</w:t>
            </w:r>
          </w:p>
        </w:tc>
        <w:tc>
          <w:tcPr>
            <w:tcW w:w="1404" w:type="dxa"/>
            <w:tcBorders>
              <w:top w:val="nil"/>
              <w:left w:val="single" w:sz="4" w:space="0" w:color="auto"/>
              <w:bottom w:val="single" w:sz="4" w:space="0" w:color="auto"/>
              <w:right w:val="single" w:sz="4" w:space="0" w:color="auto"/>
            </w:tcBorders>
            <w:shd w:val="clear" w:color="auto" w:fill="auto"/>
            <w:noWrap/>
            <w:vAlign w:val="center"/>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0.31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0.11</w:t>
            </w:r>
          </w:p>
        </w:tc>
        <w:tc>
          <w:tcPr>
            <w:tcW w:w="1404" w:type="dxa"/>
            <w:tcBorders>
              <w:top w:val="nil"/>
              <w:left w:val="nil"/>
              <w:bottom w:val="single" w:sz="4" w:space="0" w:color="auto"/>
              <w:right w:val="single" w:sz="4" w:space="0" w:color="auto"/>
            </w:tcBorders>
            <w:shd w:val="clear" w:color="auto" w:fill="auto"/>
            <w:noWrap/>
            <w:vAlign w:val="center"/>
            <w:hideMark/>
          </w:tcPr>
          <w:p w:rsidR="0039118B" w:rsidRPr="0039118B" w:rsidRDefault="0039118B" w:rsidP="003136C8">
            <w:pPr>
              <w:jc w:val="center"/>
              <w:rPr>
                <w:rFonts w:ascii="Calibri" w:hAnsi="Calibri"/>
                <w:color w:val="000000"/>
                <w:sz w:val="20"/>
                <w:szCs w:val="20"/>
              </w:rPr>
            </w:pPr>
            <w:r w:rsidRPr="0039118B">
              <w:rPr>
                <w:rFonts w:ascii="Calibri" w:hAnsi="Calibri"/>
                <w:color w:val="000000"/>
                <w:sz w:val="20"/>
                <w:szCs w:val="20"/>
              </w:rPr>
              <w:t>0.64</w:t>
            </w:r>
          </w:p>
        </w:tc>
      </w:tr>
    </w:tbl>
    <w:p w:rsidR="00D95763" w:rsidRPr="00FD54E3" w:rsidRDefault="00D95763" w:rsidP="00F934E1">
      <w:pPr>
        <w:spacing w:line="360" w:lineRule="auto"/>
        <w:ind w:firstLine="708"/>
        <w:jc w:val="center"/>
        <w:rPr>
          <w:rFonts w:ascii="Arial" w:hAnsi="Arial" w:cs="Arial"/>
          <w:sz w:val="18"/>
        </w:rPr>
      </w:pPr>
      <w:r w:rsidRPr="00FD54E3">
        <w:rPr>
          <w:rFonts w:ascii="Arial" w:hAnsi="Arial" w:cs="Arial"/>
          <w:b/>
          <w:sz w:val="18"/>
        </w:rPr>
        <w:t>Fuente:</w:t>
      </w:r>
      <w:r w:rsidRPr="00FD54E3">
        <w:rPr>
          <w:rFonts w:ascii="Arial" w:hAnsi="Arial" w:cs="Arial"/>
          <w:sz w:val="18"/>
        </w:rPr>
        <w:t xml:space="preserve"> Elaboración propia con base en SSA </w:t>
      </w:r>
      <w:r w:rsidR="00FD54E3">
        <w:rPr>
          <w:rFonts w:ascii="Arial" w:hAnsi="Arial" w:cs="Arial"/>
          <w:sz w:val="18"/>
        </w:rPr>
        <w:t xml:space="preserve">(s.f. a y 2019) </w:t>
      </w:r>
      <w:r w:rsidRPr="00FD54E3">
        <w:rPr>
          <w:rFonts w:ascii="Arial" w:hAnsi="Arial" w:cs="Arial"/>
          <w:sz w:val="18"/>
        </w:rPr>
        <w:t>y CONAPO</w:t>
      </w:r>
      <w:r w:rsidR="00FD54E3">
        <w:rPr>
          <w:rFonts w:ascii="Arial" w:hAnsi="Arial" w:cs="Arial"/>
          <w:sz w:val="18"/>
        </w:rPr>
        <w:t xml:space="preserve"> (2018)</w:t>
      </w:r>
      <w:r w:rsidRPr="00FD54E3">
        <w:rPr>
          <w:rFonts w:ascii="Arial" w:hAnsi="Arial" w:cs="Arial"/>
          <w:sz w:val="18"/>
        </w:rPr>
        <w:t>.</w:t>
      </w:r>
    </w:p>
    <w:p w:rsidR="00D95763" w:rsidRDefault="00D95763" w:rsidP="00D95763">
      <w:pPr>
        <w:spacing w:after="0" w:line="360" w:lineRule="auto"/>
        <w:rPr>
          <w:rFonts w:ascii="Arial" w:hAnsi="Arial" w:cs="Arial"/>
        </w:rPr>
      </w:pPr>
    </w:p>
    <w:p w:rsidR="00D95763" w:rsidRDefault="00D95763" w:rsidP="00D95763">
      <w:pPr>
        <w:spacing w:line="360" w:lineRule="auto"/>
        <w:jc w:val="both"/>
        <w:rPr>
          <w:rFonts w:ascii="Arial" w:hAnsi="Arial" w:cs="Arial"/>
        </w:rPr>
      </w:pPr>
      <w:r>
        <w:rPr>
          <w:rFonts w:ascii="Arial" w:hAnsi="Arial" w:cs="Arial"/>
        </w:rPr>
        <w:t xml:space="preserve">Por lo anterior, se puede afirmar que la mala distribución de la fuerza laboral de los especialistas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de ser</w:t>
      </w:r>
      <w:r>
        <w:rPr>
          <w:rFonts w:ascii="Arial" w:hAnsi="Arial" w:cs="Arial"/>
        </w:rPr>
        <w:t>vicios por parte de las poblaciones en lugares y en los tiempos específicos</w:t>
      </w:r>
      <w:r w:rsidR="00FD54E3">
        <w:rPr>
          <w:rStyle w:val="Refdenotaalpie"/>
          <w:rFonts w:ascii="Arial" w:hAnsi="Arial" w:cs="Arial"/>
        </w:rPr>
        <w:footnoteReference w:id="55"/>
      </w:r>
      <w:r>
        <w:rPr>
          <w:rFonts w:ascii="Arial" w:hAnsi="Arial" w:cs="Arial"/>
        </w:rPr>
        <w:t>. Por ejemplo, se observa una alta concentración de los especialistas en las entidades de las primeras metrópolis del país (Ciudad de México, Jalisco y Nuevo León), así como en la zona centro del país</w:t>
      </w:r>
      <w:r w:rsidR="006A2E9D">
        <w:rPr>
          <w:rFonts w:ascii="Arial" w:hAnsi="Arial" w:cs="Arial"/>
        </w:rPr>
        <w:t xml:space="preserve">. En consecuencia, las estadísticas </w:t>
      </w:r>
      <w:r>
        <w:rPr>
          <w:rFonts w:ascii="Arial" w:hAnsi="Arial" w:cs="Arial"/>
        </w:rPr>
        <w:t>sugiere</w:t>
      </w:r>
      <w:r w:rsidR="006A2E9D">
        <w:rPr>
          <w:rFonts w:ascii="Arial" w:hAnsi="Arial" w:cs="Arial"/>
        </w:rPr>
        <w:t>n</w:t>
      </w:r>
      <w:r>
        <w:rPr>
          <w:rFonts w:ascii="Arial" w:hAnsi="Arial" w:cs="Arial"/>
        </w:rPr>
        <w:t xml:space="preserve"> un modelo polarizado tanto de oferta y demanda laboral de los especialistas, así como de </w:t>
      </w:r>
      <w:r w:rsidR="0011232C">
        <w:rPr>
          <w:rFonts w:ascii="Arial" w:hAnsi="Arial" w:cs="Arial"/>
        </w:rPr>
        <w:t xml:space="preserve">su posible rendimiento laboral. </w:t>
      </w:r>
      <w:r w:rsidR="006A2E9D">
        <w:rPr>
          <w:rFonts w:ascii="Arial" w:hAnsi="Arial" w:cs="Arial"/>
        </w:rPr>
        <w:t xml:space="preserve">Adicionalmente, </w:t>
      </w:r>
      <w:r>
        <w:rPr>
          <w:rFonts w:ascii="Arial" w:hAnsi="Arial" w:cs="Arial"/>
        </w:rPr>
        <w:t xml:space="preserve">expertos </w:t>
      </w:r>
      <w:r w:rsidR="006A2E9D">
        <w:rPr>
          <w:rFonts w:ascii="Arial" w:hAnsi="Arial" w:cs="Arial"/>
        </w:rPr>
        <w:t>plantean</w:t>
      </w:r>
      <w:r>
        <w:rPr>
          <w:rFonts w:ascii="Arial" w:hAnsi="Arial" w:cs="Arial"/>
        </w:rPr>
        <w:t xml:space="preserve"> que la evolución de los </w:t>
      </w:r>
      <w:r w:rsidRPr="00B301DB">
        <w:rPr>
          <w:rFonts w:ascii="Arial" w:hAnsi="Arial" w:cs="Arial"/>
        </w:rPr>
        <w:t>médicos especialistas ha sido, generalmente, inercial</w:t>
      </w:r>
      <w:r>
        <w:rPr>
          <w:rFonts w:ascii="Arial" w:hAnsi="Arial" w:cs="Arial"/>
        </w:rPr>
        <w:t xml:space="preserve">; además, </w:t>
      </w:r>
      <w:r w:rsidR="006A2E9D">
        <w:rPr>
          <w:rFonts w:ascii="Arial" w:hAnsi="Arial" w:cs="Arial"/>
        </w:rPr>
        <w:t xml:space="preserve">mencionan </w:t>
      </w:r>
      <w:r>
        <w:rPr>
          <w:rFonts w:ascii="Arial" w:hAnsi="Arial" w:cs="Arial"/>
        </w:rPr>
        <w:t xml:space="preserve">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sidR="005A3868">
        <w:rPr>
          <w:rStyle w:val="Refdenotaalpie"/>
          <w:rFonts w:ascii="Arial" w:hAnsi="Arial" w:cs="Arial"/>
        </w:rPr>
        <w:footnoteReference w:id="56"/>
      </w:r>
      <w:r w:rsidR="005A3868">
        <w:rPr>
          <w:rFonts w:ascii="Arial" w:hAnsi="Arial" w:cs="Arial"/>
        </w:rPr>
        <w:t xml:space="preserve"> </w:t>
      </w:r>
      <w:r w:rsidR="005A3868">
        <w:rPr>
          <w:rStyle w:val="Refdenotaalpie"/>
          <w:rFonts w:ascii="Arial" w:hAnsi="Arial" w:cs="Arial"/>
        </w:rPr>
        <w:footnoteReference w:id="57"/>
      </w:r>
      <w:r>
        <w:rPr>
          <w:rFonts w:ascii="Arial" w:hAnsi="Arial" w:cs="Arial"/>
        </w:rPr>
        <w:t xml:space="preserve">. En resumen, se puede afirmar </w:t>
      </w:r>
      <w:r>
        <w:rPr>
          <w:rFonts w:ascii="Arial" w:hAnsi="Arial" w:cs="Arial"/>
        </w:rPr>
        <w:lastRenderedPageBreak/>
        <w:t xml:space="preserve">que el incremento </w:t>
      </w:r>
      <w:r w:rsidRPr="00B301DB">
        <w:rPr>
          <w:rFonts w:ascii="Arial" w:hAnsi="Arial" w:cs="Arial"/>
        </w:rPr>
        <w:t>o</w:t>
      </w:r>
      <w:r>
        <w:rPr>
          <w:rFonts w:ascii="Arial" w:hAnsi="Arial" w:cs="Arial"/>
        </w:rPr>
        <w:t xml:space="preserve"> la falta –así como la 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rsidR="00382DD9" w:rsidRDefault="0011232C" w:rsidP="0011232C">
      <w:pPr>
        <w:spacing w:line="360" w:lineRule="auto"/>
        <w:jc w:val="both"/>
        <w:rPr>
          <w:rFonts w:ascii="Arial" w:hAnsi="Arial" w:cs="Arial"/>
        </w:rPr>
      </w:pPr>
      <w:r>
        <w:rPr>
          <w:rFonts w:ascii="Arial" w:hAnsi="Arial" w:cs="Arial"/>
        </w:rPr>
        <w:t>Finalmente, la cirugía es una parte indivisible e indispensable del cuidado de la salud, de tal forma que ha alcanzado tal desarrollo a partir de que ha avanzado técnica y tecnológicamente, salva vidas y promueve el crecimiento económico</w:t>
      </w:r>
      <w:r w:rsidR="005A3868">
        <w:rPr>
          <w:rStyle w:val="Refdenotaalpie"/>
          <w:rFonts w:ascii="Arial" w:hAnsi="Arial" w:cs="Arial"/>
        </w:rPr>
        <w:footnoteReference w:id="58"/>
      </w:r>
      <w:r>
        <w:rPr>
          <w:rFonts w:ascii="Arial" w:hAnsi="Arial" w:cs="Arial"/>
        </w:rPr>
        <w:t>. Para cumplir las presentes y futuras demandas en salud de la población, es urgente invertir tanto en recursos humanos y físicos para el cuidado quirúrgico y anestésico. Buena parte de los avances que conforman el estado del arte de la cirugía tienen que ver con una mayor formación de alta calidad, una mejor planeación quirúrgica, el empleo de materiales y equipo que logran a cumplir lo propuesto, mejores estrategias de anestesia, valoraciones preoperatorias más individualizadas y mejor cuidado posquirúrgico</w:t>
      </w:r>
      <w:r w:rsidR="005A3868">
        <w:rPr>
          <w:rStyle w:val="Refdenotaalpie"/>
          <w:rFonts w:ascii="Arial" w:hAnsi="Arial" w:cs="Arial"/>
        </w:rPr>
        <w:footnoteReference w:id="59"/>
      </w:r>
      <w:r>
        <w:rPr>
          <w:rFonts w:ascii="Arial" w:hAnsi="Arial" w:cs="Arial"/>
        </w:rPr>
        <w:t>. El aumentar los recursos humanos y físicos de calidad ayudará a prevenir muertes, limitar discapacidades, palear el dolor, promoverá el crecimiento económico y ayudará a lograr máximas ganancias en la salud, bienestar y desarrollo para todos</w:t>
      </w:r>
      <w:r w:rsidR="005A3868">
        <w:rPr>
          <w:rStyle w:val="Refdenotaalpie"/>
          <w:rFonts w:ascii="Arial" w:hAnsi="Arial" w:cs="Arial"/>
        </w:rPr>
        <w:footnoteReference w:id="60"/>
      </w:r>
      <w:r>
        <w:rPr>
          <w:rFonts w:ascii="Arial" w:hAnsi="Arial" w:cs="Arial"/>
        </w:rPr>
        <w:t>.</w:t>
      </w:r>
      <w:r w:rsidR="0039118B" w:rsidRPr="0039118B">
        <w:t xml:space="preserve"> </w:t>
      </w:r>
      <w:r w:rsidR="0039118B" w:rsidRPr="0039118B">
        <w:rPr>
          <w:rFonts w:ascii="Arial" w:hAnsi="Arial" w:cs="Arial"/>
        </w:rPr>
        <w:t xml:space="preserve">Adicionalmente, las futuras generaciones de </w:t>
      </w:r>
      <w:r w:rsidR="0039118B">
        <w:rPr>
          <w:rFonts w:ascii="Arial" w:hAnsi="Arial" w:cs="Arial"/>
        </w:rPr>
        <w:t>cirujanos</w:t>
      </w:r>
      <w:r w:rsidR="0039118B" w:rsidRPr="0039118B">
        <w:rPr>
          <w:rFonts w:ascii="Arial" w:hAnsi="Arial" w:cs="Arial"/>
        </w:rPr>
        <w:t xml:space="preserve"> –para ser vigentes– deberán tener una sólida formación, un ágil acceso a la información, a programas de educación continua por medios electrónicos, a la enseñanza virtual, a entrenamiento en simuladores y a producir conocimiento a través de la investigación, así como a estar comprometidos en la enseñanza de la medicina y su especialidad, sin dejar de lado el entorno normativo, ético, moral y bioético que debe regir su desarrollo profesional</w:t>
      </w:r>
      <w:r w:rsidR="005A3868">
        <w:rPr>
          <w:rStyle w:val="Refdenotaalpie"/>
          <w:rFonts w:ascii="Arial" w:hAnsi="Arial" w:cs="Arial"/>
        </w:rPr>
        <w:footnoteReference w:id="61"/>
      </w:r>
      <w:r w:rsidR="0039118B" w:rsidRPr="0039118B">
        <w:rPr>
          <w:rFonts w:ascii="Arial" w:hAnsi="Arial" w:cs="Arial"/>
        </w:rPr>
        <w:t>.</w:t>
      </w:r>
    </w:p>
    <w:p w:rsidR="00382DD9" w:rsidRDefault="00382DD9">
      <w:pPr>
        <w:rPr>
          <w:rFonts w:ascii="Arial" w:hAnsi="Arial" w:cs="Arial"/>
        </w:rPr>
      </w:pPr>
      <w:r>
        <w:rPr>
          <w:rFonts w:ascii="Arial" w:hAnsi="Arial" w:cs="Arial"/>
        </w:rPr>
        <w:br w:type="page"/>
      </w:r>
    </w:p>
    <w:p w:rsidR="00414C05" w:rsidRPr="00CA1BB8" w:rsidRDefault="00414C05" w:rsidP="004F391F">
      <w:pPr>
        <w:spacing w:after="0" w:line="360" w:lineRule="auto"/>
        <w:jc w:val="both"/>
        <w:rPr>
          <w:rFonts w:ascii="Arial" w:hAnsi="Arial" w:cs="Arial"/>
          <w:b/>
          <w:smallCaps/>
          <w:color w:val="000000" w:themeColor="text1"/>
          <w:sz w:val="24"/>
          <w:szCs w:val="24"/>
        </w:rPr>
      </w:pPr>
      <w:r>
        <w:rPr>
          <w:rFonts w:ascii="Arial" w:hAnsi="Arial" w:cs="Arial"/>
          <w:b/>
          <w:smallCaps/>
          <w:color w:val="000000" w:themeColor="text1"/>
          <w:sz w:val="24"/>
          <w:szCs w:val="24"/>
        </w:rPr>
        <w:lastRenderedPageBreak/>
        <w:t>III</w:t>
      </w:r>
      <w:r w:rsidRPr="00CA1BB8">
        <w:rPr>
          <w:rFonts w:ascii="Arial" w:hAnsi="Arial" w:cs="Arial"/>
          <w:b/>
          <w:smallCaps/>
          <w:color w:val="000000" w:themeColor="text1"/>
          <w:sz w:val="24"/>
          <w:szCs w:val="24"/>
        </w:rPr>
        <w:t xml:space="preserve">. </w:t>
      </w:r>
      <w:r w:rsidR="00DD00EF">
        <w:rPr>
          <w:rFonts w:ascii="Arial" w:hAnsi="Arial" w:cs="Arial"/>
          <w:b/>
          <w:smallCaps/>
          <w:color w:val="000000" w:themeColor="text1"/>
          <w:sz w:val="24"/>
          <w:szCs w:val="24"/>
        </w:rPr>
        <w:t>MARCO NORMATIVO</w:t>
      </w:r>
    </w:p>
    <w:p w:rsidR="004F391F" w:rsidRDefault="004F391F" w:rsidP="004F391F">
      <w:pPr>
        <w:spacing w:after="0" w:line="360" w:lineRule="auto"/>
        <w:jc w:val="both"/>
        <w:rPr>
          <w:rFonts w:ascii="Arial" w:hAnsi="Arial" w:cs="Arial"/>
          <w:b/>
        </w:rPr>
      </w:pPr>
    </w:p>
    <w:p w:rsidR="00414C05" w:rsidRDefault="007E2B99" w:rsidP="004F391F">
      <w:pPr>
        <w:spacing w:after="0" w:line="360" w:lineRule="auto"/>
        <w:jc w:val="both"/>
        <w:rPr>
          <w:rFonts w:ascii="Arial" w:hAnsi="Arial" w:cs="Arial"/>
          <w:b/>
          <w:smallCaps/>
          <w:color w:val="000000" w:themeColor="text1"/>
        </w:rPr>
      </w:pPr>
      <w:r>
        <w:rPr>
          <w:rFonts w:ascii="Arial" w:hAnsi="Arial" w:cs="Arial"/>
          <w:b/>
        </w:rPr>
        <w:t>3.1. Constitución Política de</w:t>
      </w:r>
      <w:r w:rsidR="00B71F99">
        <w:rPr>
          <w:rFonts w:ascii="Arial" w:hAnsi="Arial" w:cs="Arial"/>
          <w:b/>
        </w:rPr>
        <w:t xml:space="preserve"> los Estados Unidos Mexicanos</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b/>
          <w:smallCaps/>
          <w:color w:val="000000" w:themeColor="text1"/>
        </w:rPr>
        <w:t>Artículo 3°</w:t>
      </w:r>
      <w:r w:rsidRPr="003B025A">
        <w:rPr>
          <w:rStyle w:val="Refdenotaalpie"/>
          <w:rFonts w:ascii="Arial" w:hAnsi="Arial" w:cs="Arial"/>
          <w:smallCaps/>
          <w:color w:val="000000" w:themeColor="text1"/>
        </w:rPr>
        <w:footnoteReference w:id="62"/>
      </w:r>
      <w:r w:rsidRPr="003B025A">
        <w:rPr>
          <w:rFonts w:ascii="Arial" w:hAnsi="Arial" w:cs="Arial"/>
          <w:smallCaps/>
          <w:color w:val="000000" w:themeColor="text1"/>
        </w:rPr>
        <w:t>.</w:t>
      </w:r>
      <w:r w:rsidRPr="003B025A">
        <w:rPr>
          <w:rFonts w:ascii="Arial" w:hAnsi="Arial" w:cs="Arial"/>
          <w:color w:val="000000" w:themeColor="text1"/>
        </w:rPr>
        <w:t xml:space="preserve"> Todo individuo tiene derecho a recibir Educación. El Estado –Federación, Estados, Ciudad de México y Municipios–, impartirá educación preescolar, primaria, secundaria y media superior. La educación preescolar, primaria y secundaria conforman la educación básica; ésta y la media superior serán obligatorias.</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sidRPr="003B025A">
        <w:rPr>
          <w:rStyle w:val="Refdenotaalpie"/>
          <w:rFonts w:ascii="Arial" w:hAnsi="Arial" w:cs="Arial"/>
          <w:color w:val="000000" w:themeColor="text1"/>
        </w:rPr>
        <w:footnoteReference w:id="63"/>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I. Garantizada por el artículo 24 la libertad de creencias, dicha Educación será laica y, por tanto, se mantendrá por completo ajena a cualquier doctrina religiosa</w:t>
      </w:r>
      <w:r w:rsidRPr="003B025A">
        <w:rPr>
          <w:rStyle w:val="Refdenotaalpie"/>
          <w:rFonts w:ascii="Arial" w:hAnsi="Arial" w:cs="Arial"/>
          <w:color w:val="000000" w:themeColor="text1"/>
        </w:rPr>
        <w:footnoteReference w:id="64"/>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3B025A">
        <w:rPr>
          <w:rStyle w:val="Refdenotaalpie"/>
          <w:rFonts w:ascii="Arial" w:hAnsi="Arial" w:cs="Arial"/>
          <w:color w:val="000000" w:themeColor="text1"/>
        </w:rPr>
        <w:footnoteReference w:id="65"/>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 xml:space="preserve">Además: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414C05" w:rsidRPr="003B025A" w:rsidRDefault="00414C05" w:rsidP="003B025A">
      <w:pPr>
        <w:spacing w:after="240" w:line="360" w:lineRule="auto"/>
        <w:ind w:left="708"/>
        <w:jc w:val="both"/>
        <w:rPr>
          <w:rFonts w:ascii="Arial" w:hAnsi="Arial" w:cs="Arial"/>
          <w:color w:val="000000" w:themeColor="text1"/>
        </w:rPr>
      </w:pPr>
      <w:r w:rsidRPr="003B025A">
        <w:rPr>
          <w:rFonts w:ascii="Arial" w:hAnsi="Arial" w:cs="Arial"/>
          <w:color w:val="000000" w:themeColor="text1"/>
        </w:rPr>
        <w:t xml:space="preserve">B) Será nacional,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cultura y,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lastRenderedPageBreak/>
        <w:t>C) Contribuirá a la mejor convivencia humana, a fin de fortalecer el aprecio y respeto por la diversidad cultural, la dignidad de la persona, la integridad de la familia, la convicción del interés general de la sociedad, los ideales de fraternidad e igualdad de derechos de todos, evitando los privilegios de razas, de religión, de grupos, de sexos o de individuos</w:t>
      </w:r>
      <w:r w:rsidRPr="003B025A">
        <w:rPr>
          <w:rStyle w:val="Refdenotaalpie"/>
          <w:rFonts w:ascii="Arial" w:hAnsi="Arial" w:cs="Arial"/>
          <w:color w:val="000000" w:themeColor="text1"/>
        </w:rPr>
        <w:footnoteReference w:id="66"/>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III. Para dar pleno cumplimiento a lo dispuesto en el segundo párrafo y en la fracción II el Ejecutivo Federal determinará los planes y programas de estudio de la educación preescolar, primaria, secundaria y normal para toda la República, para tales efectos, el Ejecutivo Federal considerará la opinión de los gobiernos de las entidades federativas, así como de los diversos sectores sociales involucrados en la educación,(…) en los términos que la ley señale</w:t>
      </w:r>
      <w:r w:rsidRPr="003B025A">
        <w:rPr>
          <w:rStyle w:val="Refdenotaalpie"/>
          <w:rFonts w:ascii="Arial" w:hAnsi="Arial" w:cs="Arial"/>
          <w:color w:val="000000" w:themeColor="text1"/>
        </w:rPr>
        <w:footnoteReference w:id="67"/>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IV. Toda la Educación que el estado imparta será gratuita</w:t>
      </w:r>
      <w:r w:rsidRPr="003B025A">
        <w:rPr>
          <w:rStyle w:val="Refdenotaalpie"/>
          <w:rFonts w:ascii="Arial" w:hAnsi="Arial" w:cs="Arial"/>
          <w:color w:val="000000" w:themeColor="text1"/>
        </w:rPr>
        <w:footnoteReference w:id="68"/>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 Además de impartir la educación preescolar, primaria, secundaria y media superior, señaladas en el primer párrafo, el Estado promoverá y atenderá todos los tipos y modalidades educativos – incluyendo la educación inicial y a la educación superior- necesarios para el desarrollo de la nación, apoyará la investigación científica y tecnológica, y alentará el fortalecimiento y difusión de nuestra cultura</w:t>
      </w:r>
      <w:r w:rsidRPr="003B025A">
        <w:rPr>
          <w:rStyle w:val="Refdenotaalpie"/>
          <w:rFonts w:ascii="Arial" w:hAnsi="Arial" w:cs="Arial"/>
          <w:color w:val="000000" w:themeColor="text1"/>
        </w:rPr>
        <w:footnoteReference w:id="69"/>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 Los particulares podrán impartir educación en todos sus tipos y modalidades. En los términos que establezca la ley, el Estado otorgará y reiterará el reconocimiento de validez oficial a los estudios que se realicen en planteles particulares. En el caso de la educación preescolar, primaria, secundaria y normal, los particulares deberán:</w:t>
      </w:r>
    </w:p>
    <w:p w:rsidR="00414C05" w:rsidRPr="003B025A" w:rsidRDefault="00414C05" w:rsidP="003B025A">
      <w:pPr>
        <w:spacing w:after="240" w:line="360" w:lineRule="auto"/>
        <w:jc w:val="both"/>
        <w:rPr>
          <w:rFonts w:ascii="Arial" w:hAnsi="Arial" w:cs="Arial"/>
          <w:color w:val="3F3F3F"/>
          <w:lang w:val="es-ES"/>
        </w:rPr>
      </w:pPr>
      <w:r w:rsidRPr="003B025A">
        <w:rPr>
          <w:rFonts w:ascii="Arial" w:hAnsi="Arial" w:cs="Arial"/>
          <w:color w:val="3F3F3F"/>
          <w:lang w:val="es-ES"/>
        </w:rPr>
        <w:t xml:space="preserve">a) Impartir la educación con apego a los mismos fines y criterios que establecen el segundo párrafo y la fracción II, así como cumplir los planes y programas a que se refiere la fracción III, y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3F3F3F"/>
          <w:lang w:val="es-ES"/>
        </w:rPr>
        <w:lastRenderedPageBreak/>
        <w:t>b) Obtener previamente, en cada caso, la autorización expresa del poder público, en los términos que establezca la ley</w:t>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VII. Las universidades y las demás instituciones de educación superior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discusión de las ideas; determinarán sus planes y programas; fijaran los términos de ingreso, promoción y permanencia de su personal académico; y administrarán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3B025A">
        <w:rPr>
          <w:rStyle w:val="Refdenotaalpie"/>
          <w:rFonts w:ascii="Arial" w:hAnsi="Arial" w:cs="Arial"/>
          <w:color w:val="000000" w:themeColor="text1"/>
        </w:rPr>
        <w:footnoteReference w:id="70"/>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VIII. El Congreso de la Unión, con el fin de unificar y coordinar la educación en toda la República, expedirá las leyes necesarias destinadas a distribuir la función social educativa entre la Federación, los estados y los Municipios, a fijar las aportaciones económicas correspondientes a ese servicio público y a señalar las sanciones aplicables a los funcionarios que no cumplan o no hagan cumplir las disposiciones relativas, lo mismo que a todos aquellos que las infrinjan</w:t>
      </w:r>
      <w:r w:rsidRPr="003B025A">
        <w:rPr>
          <w:rStyle w:val="Refdenotaalpie"/>
          <w:rFonts w:ascii="Arial" w:hAnsi="Arial" w:cs="Arial"/>
          <w:color w:val="000000" w:themeColor="text1"/>
        </w:rPr>
        <w:footnoteReference w:id="71"/>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shd w:val="clear" w:color="auto" w:fill="FFFFFF" w:themeFill="background1"/>
        </w:rPr>
        <w:t>Artículo 4°.</w:t>
      </w:r>
      <w:r w:rsidRPr="003B025A">
        <w:rPr>
          <w:rFonts w:ascii="Arial" w:hAnsi="Arial" w:cs="Arial"/>
          <w:color w:val="000000" w:themeColor="text1"/>
        </w:rPr>
        <w:t xml:space="preserve"> …Toda persona tiene derecho a decidir de manera libre, responsable e informada sobre el número y el espaciamiento de sus hijos</w:t>
      </w:r>
      <w:r w:rsidRPr="003B025A">
        <w:rPr>
          <w:rStyle w:val="Refdenotaalpie"/>
          <w:rFonts w:ascii="Arial" w:hAnsi="Arial" w:cs="Arial"/>
          <w:color w:val="000000" w:themeColor="text1"/>
        </w:rPr>
        <w:footnoteReference w:id="72"/>
      </w:r>
      <w:r w:rsidRPr="003B025A">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3B025A">
        <w:rPr>
          <w:rStyle w:val="Refdenotaalpie"/>
          <w:rFonts w:ascii="Arial" w:hAnsi="Arial" w:cs="Arial"/>
          <w:color w:val="000000" w:themeColor="text1"/>
        </w:rPr>
        <w:footnoteReference w:id="73"/>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artículos anteriores se manifiesta el alineamiento a la normatividad planteada por la Constitución de nuestro país.</w:t>
      </w:r>
    </w:p>
    <w:p w:rsidR="004F391F" w:rsidRDefault="00382DD9"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lastRenderedPageBreak/>
        <w:t>3.2</w:t>
      </w:r>
      <w:r>
        <w:rPr>
          <w:rFonts w:ascii="Arial" w:hAnsi="Arial" w:cs="Arial"/>
          <w:b/>
          <w:smallCaps/>
          <w:color w:val="000000" w:themeColor="text1"/>
        </w:rPr>
        <w:t xml:space="preserve">. </w:t>
      </w:r>
      <w:r w:rsidR="00B71F99">
        <w:rPr>
          <w:rFonts w:ascii="Arial" w:hAnsi="Arial" w:cs="Arial"/>
          <w:b/>
        </w:rPr>
        <w:t>Ley General de Educación</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3B025A">
        <w:rPr>
          <w:rStyle w:val="Refdenotaalpie"/>
          <w:rFonts w:ascii="Arial" w:hAnsi="Arial" w:cs="Arial"/>
          <w:color w:val="000000" w:themeColor="text1"/>
        </w:rPr>
        <w:footnoteReference w:id="74"/>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De igual manera se atiende esta Ley en lo referente a los Capítulos II, III y VI, en sus diferentes articulados donde se especifica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Capítulo ii. del federalismo educativo.</w:t>
      </w:r>
      <w:r w:rsidRPr="003B025A">
        <w:rPr>
          <w:rFonts w:ascii="Arial" w:hAnsi="Arial" w:cs="Arial"/>
          <w:smallCaps/>
          <w:color w:val="000000" w:themeColor="text1"/>
        </w:rPr>
        <w:t xml:space="preserve"> </w:t>
      </w:r>
      <w:r w:rsidRPr="003B025A">
        <w:rPr>
          <w:rFonts w:ascii="Arial" w:hAnsi="Arial" w:cs="Arial"/>
          <w:b/>
          <w:smallCaps/>
          <w:color w:val="000000" w:themeColor="text1"/>
        </w:rPr>
        <w:t>Artículo 24.-</w:t>
      </w:r>
      <w:r w:rsidRPr="003B025A">
        <w:rPr>
          <w:rFonts w:ascii="Arial" w:hAnsi="Arial" w:cs="Arial"/>
          <w:smallCaps/>
          <w:color w:val="000000" w:themeColor="text1"/>
        </w:rPr>
        <w:t xml:space="preserve"> </w:t>
      </w:r>
      <w:r w:rsidRPr="003B025A">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414C05" w:rsidRPr="003B025A" w:rsidRDefault="00414C05" w:rsidP="00382DD9">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 xml:space="preserve">sección </w:t>
      </w:r>
      <w:proofErr w:type="gramStart"/>
      <w:r w:rsidRPr="003B025A">
        <w:rPr>
          <w:rFonts w:ascii="Arial" w:hAnsi="Arial" w:cs="Arial"/>
          <w:b/>
          <w:smallCaps/>
          <w:color w:val="000000" w:themeColor="text1"/>
        </w:rPr>
        <w:t>cuarta.-</w:t>
      </w:r>
      <w:proofErr w:type="gramEnd"/>
      <w:r w:rsidRPr="003B025A">
        <w:rPr>
          <w:rFonts w:ascii="Arial" w:hAnsi="Arial" w:cs="Arial"/>
          <w:b/>
          <w:smallCaps/>
          <w:color w:val="000000" w:themeColor="text1"/>
        </w:rPr>
        <w:t xml:space="preserve"> de la evaluación del sistema educativo nacional</w:t>
      </w:r>
    </w:p>
    <w:p w:rsidR="00414C05" w:rsidRPr="003B025A" w:rsidRDefault="00414C05" w:rsidP="00382DD9">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29.</w:t>
      </w:r>
      <w:r w:rsidRPr="003B025A">
        <w:rPr>
          <w:rFonts w:ascii="Arial" w:hAnsi="Arial" w:cs="Arial"/>
          <w:b/>
          <w:color w:val="000000" w:themeColor="text1"/>
        </w:rPr>
        <w:t>-</w:t>
      </w:r>
      <w:r w:rsidRPr="003B025A">
        <w:rPr>
          <w:rFonts w:ascii="Arial" w:hAnsi="Arial" w:cs="Arial"/>
          <w:color w:val="000000" w:themeColor="text1"/>
        </w:rPr>
        <w:t xml:space="preserve"> Corresponde a Instituto Nacional para la Evaluación de la Educación (…) </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III.- …</w:t>
      </w:r>
      <w:r w:rsidRPr="003B025A">
        <w:rPr>
          <w:sz w:val="22"/>
          <w:szCs w:val="22"/>
        </w:rPr>
        <w:t xml:space="preserve"> </w:t>
      </w:r>
      <w:r w:rsidRPr="003B025A">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30.-</w:t>
      </w:r>
      <w:r w:rsidRPr="003B025A">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lastRenderedPageBreak/>
        <w:t>Artículo 31.-</w:t>
      </w:r>
      <w:r w:rsidRPr="003B025A">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 xml:space="preserve">capítulo iii de la equidad de la educación. sección </w:t>
      </w:r>
      <w:proofErr w:type="gramStart"/>
      <w:r w:rsidRPr="003B025A">
        <w:rPr>
          <w:rFonts w:ascii="Arial" w:hAnsi="Arial" w:cs="Arial"/>
          <w:b/>
          <w:smallCaps/>
          <w:color w:val="000000" w:themeColor="text1"/>
        </w:rPr>
        <w:t>segunda.-</w:t>
      </w:r>
      <w:proofErr w:type="gramEnd"/>
      <w:r w:rsidRPr="003B025A">
        <w:rPr>
          <w:rFonts w:ascii="Arial" w:hAnsi="Arial" w:cs="Arial"/>
          <w:b/>
          <w:smallCaps/>
          <w:color w:val="000000" w:themeColor="text1"/>
        </w:rPr>
        <w:t xml:space="preserve"> de los planes y programas de estudio.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47.</w:t>
      </w:r>
      <w:r w:rsidRPr="003B025A">
        <w:rPr>
          <w:rFonts w:ascii="Arial" w:hAnsi="Arial" w:cs="Arial"/>
          <w:b/>
          <w:color w:val="000000" w:themeColor="text1"/>
        </w:rPr>
        <w:t xml:space="preserve"> </w:t>
      </w:r>
      <w:r w:rsidRPr="003B025A">
        <w:rPr>
          <w:rFonts w:ascii="Arial" w:hAnsi="Arial" w:cs="Arial"/>
          <w:color w:val="000000" w:themeColor="text1"/>
        </w:rPr>
        <w:t>Los contenidos de la educación serán definidos en planes y programas de estudio. En los planes de estudio deberán establecerse:</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propósitos de formación general y, en su caso, la adquisición de conocimientos, habilidades, capacidades y destrezas que correspondan a cada nivel educativo;</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t>Las secuencias indispensables que deben respetarse entre las asignaturas o unidades de aprendizaje que constituyen un nivel educativo, y</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t>Los criterios y procedimientos de evaluación y acreditación para verificar que el educando cumple los propósitos de cada nivel educativo.</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 xml:space="preserve">Siendo la Universidad La Salle una Institución de Educación Privada se atiene en mayor medida a la normatividad especificada en el </w:t>
      </w:r>
      <w:r w:rsidRPr="003B025A">
        <w:rPr>
          <w:rFonts w:ascii="Arial" w:hAnsi="Arial" w:cs="Arial"/>
          <w:b/>
          <w:smallCaps/>
          <w:color w:val="000000" w:themeColor="text1"/>
        </w:rPr>
        <w:t>capítulo v. de la educación que impartan los particulares</w:t>
      </w:r>
      <w:r w:rsidRPr="003B025A">
        <w:rPr>
          <w:rFonts w:ascii="Arial" w:hAnsi="Arial" w:cs="Arial"/>
          <w:color w:val="000000" w:themeColor="text1"/>
        </w:rPr>
        <w:t>, que establece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54.-</w:t>
      </w:r>
      <w:r w:rsidRPr="003B025A">
        <w:rPr>
          <w:rFonts w:ascii="Arial" w:hAnsi="Arial" w:cs="Arial"/>
          <w:color w:val="000000" w:themeColor="text1"/>
        </w:rPr>
        <w:t xml:space="preserve"> Los particulares podrán impartir educación en todos sus tipos y modalidades.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 tratándose de estudios distintos de los antes mencionados, podrán obtener el reconocimiento de validez oficial de estudios.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lastRenderedPageBreak/>
        <w:t>La autorización y el reconocimiento serán específicos para cada plan de estudios. Para impartir nuevos estudios se requerirá, según el caso, la autorización o el reconocimiento respectivos.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55</w:t>
      </w:r>
      <w:r w:rsidRPr="003B025A">
        <w:rPr>
          <w:rFonts w:ascii="Arial" w:hAnsi="Arial" w:cs="Arial"/>
          <w:smallCaps/>
          <w:color w:val="000000" w:themeColor="text1"/>
        </w:rPr>
        <w:t>.-</w:t>
      </w:r>
      <w:r w:rsidRPr="003B025A">
        <w:rPr>
          <w:rFonts w:ascii="Arial" w:hAnsi="Arial" w:cs="Arial"/>
          <w:color w:val="000000" w:themeColor="text1"/>
        </w:rPr>
        <w:t xml:space="preserve"> las autorizaciones y los reconocimientos de validez oficial de estudios se otorgarán cuando los solicitantes cuenten: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 Con personal que acredite la preparación adecuada para impartir educación y, en su caso, satisfagan los demás requisitos a que se refiere el artículo 21;</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414C05" w:rsidRPr="003B025A" w:rsidRDefault="00414C05" w:rsidP="003B025A">
      <w:pPr>
        <w:spacing w:after="240" w:line="360" w:lineRule="auto"/>
        <w:jc w:val="both"/>
        <w:rPr>
          <w:rFonts w:ascii="Arial" w:hAnsi="Arial" w:cs="Arial"/>
          <w:b/>
          <w:smallCaps/>
          <w:color w:val="000000" w:themeColor="text1"/>
        </w:rPr>
      </w:pP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57</w:t>
      </w:r>
      <w:r w:rsidRPr="003B025A">
        <w:rPr>
          <w:rFonts w:ascii="Arial" w:hAnsi="Arial" w:cs="Arial"/>
          <w:b/>
          <w:color w:val="000000" w:themeColor="text1"/>
        </w:rPr>
        <w:t>.-</w:t>
      </w:r>
      <w:r w:rsidRPr="003B025A">
        <w:rPr>
          <w:rFonts w:ascii="Arial" w:hAnsi="Arial" w:cs="Arial"/>
          <w:color w:val="000000" w:themeColor="text1"/>
        </w:rPr>
        <w:t xml:space="preserve"> Los particulares que impartan educación con autorización o con reconocimiento deberán: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 xml:space="preserve"> I.- Cumplir con lo dispuesto en el artículo 3o. de la Constitución Política de los Estados Unidos Mexicanos, en la presente Ley y demás disposiciones aplicables;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 Cumplir con los planes y programas de estudio que las autoridades educativas competentes hayan determinado o considerado procedentes;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III.- Proporcionar un mínimo de becas en los términos de los lineamientos generales que la autoridad que otorgue las autorizaciones o reconocimientos haya determinado;</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lastRenderedPageBreak/>
        <w:t>IV.- Cumplir los requisitos previstos en el artículo 55, y</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V.- Facilitar y colaborar en las actividades de evaluación, inspección y vigilancia que las autoridades competentes realicen u ordenen.</w:t>
      </w:r>
    </w:p>
    <w:p w:rsidR="00414C05" w:rsidRPr="003B025A" w:rsidRDefault="00414C05" w:rsidP="009566F6">
      <w:pPr>
        <w:spacing w:after="0" w:line="360" w:lineRule="auto"/>
        <w:jc w:val="both"/>
        <w:rPr>
          <w:rFonts w:ascii="Arial" w:hAnsi="Arial" w:cs="Arial"/>
          <w:smallCaps/>
          <w:color w:val="000000" w:themeColor="text1"/>
        </w:rPr>
      </w:pPr>
      <w:r w:rsidRPr="003B025A">
        <w:rPr>
          <w:rFonts w:ascii="Arial" w:hAnsi="Arial" w:cs="Arial"/>
          <w:b/>
          <w:smallCaps/>
          <w:color w:val="000000" w:themeColor="text1"/>
        </w:rPr>
        <w:t xml:space="preserve">capítulo vi. de la validez oficial de estudios y de la certificación de conocimientos. </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60.-</w:t>
      </w:r>
      <w:r w:rsidRPr="003B025A">
        <w:rPr>
          <w:rFonts w:ascii="Arial" w:hAnsi="Arial" w:cs="Arial"/>
          <w:color w:val="000000" w:themeColor="text1"/>
        </w:rPr>
        <w:t xml:space="preserve"> Los estudios realizados dentro del sistema educativo nacional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Dichos certificados, constancias, diplomas, títulos y grados deberán registrarse en el Sistema de Información y Gestión Educativa y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Secretaría promoverá que los estudios con validez oficial en la República sean reconocidos en el extranjero.</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ley reglamentaria del artículo 5º constitucional, relativo al ejercicio de las profesiones en la Ciudad de México.</w:t>
      </w:r>
      <w:r w:rsidRPr="003B025A">
        <w:rPr>
          <w:rStyle w:val="Refdenotaalpie"/>
          <w:rFonts w:ascii="Arial" w:hAnsi="Arial" w:cs="Arial"/>
          <w:b/>
          <w:smallCaps/>
          <w:color w:val="000000" w:themeColor="text1"/>
        </w:rPr>
        <w:footnoteReference w:id="75"/>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 condiciones que deben llenarse para obtener un título profesional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8.-</w:t>
      </w:r>
      <w:r w:rsidRPr="003B025A">
        <w:rPr>
          <w:rFonts w:ascii="Arial" w:hAnsi="Arial" w:cs="Arial"/>
          <w:color w:val="000000" w:themeColor="text1"/>
        </w:rPr>
        <w:t xml:space="preserve"> Para obtener un título profesional es indispensable acreditar que se han cumplido los requisitos académicos previstos por las leyes aplicables.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9.-</w:t>
      </w:r>
      <w:r w:rsidRPr="003B025A">
        <w:rPr>
          <w:rFonts w:ascii="Arial" w:hAnsi="Arial" w:cs="Arial"/>
          <w:color w:val="000000" w:themeColor="text1"/>
        </w:rPr>
        <w:t xml:space="preserve"> Para que pueda registrarse un título profesional expedido por una institución que no forme parte del Sistema Educativo Nacional será necesario que la Secretaría de Educación Pública revalide, en su caso, los estudios correspondientes y que el interesado acredite haber prestado servicio social.</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iii instituciones autorizadas que deben expedir los títulos profesionales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sección primera títulos expedidos en la Ciudad de México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10.</w:t>
      </w:r>
      <w:r w:rsidRPr="003B025A">
        <w:rPr>
          <w:rFonts w:ascii="Arial" w:hAnsi="Arial" w:cs="Arial"/>
          <w:b/>
          <w:color w:val="000000" w:themeColor="text1"/>
        </w:rPr>
        <w:t>-</w:t>
      </w:r>
      <w:r w:rsidRPr="003B025A">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414C05" w:rsidRPr="003B025A" w:rsidRDefault="00414C05" w:rsidP="003B025A">
      <w:pPr>
        <w:spacing w:after="240" w:line="360" w:lineRule="auto"/>
        <w:jc w:val="both"/>
        <w:rPr>
          <w:rFonts w:ascii="Arial" w:hAnsi="Arial" w:cs="Arial"/>
          <w:b/>
          <w:smallCaps/>
          <w:color w:val="000000" w:themeColor="text1"/>
        </w:rPr>
      </w:pP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lastRenderedPageBreak/>
        <w:t>Artículo 11.-</w:t>
      </w:r>
      <w:r w:rsidRPr="003B025A">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v. del ejercicio profesional</w:t>
      </w:r>
    </w:p>
    <w:p w:rsidR="00414C05" w:rsidRPr="003B025A" w:rsidRDefault="00414C05" w:rsidP="009566F6">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24.-</w:t>
      </w:r>
      <w:r w:rsidRPr="003B025A">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se trate de simple consulta o la ostentación del carácter del profesionista por medio de tarjetas, anuncios, placas, insignias o de cualquier otro modo. No se reputará ejercicio profesional cualquier acto realizado en los casos graves con propósito de auxilio inmediato.</w:t>
      </w:r>
    </w:p>
    <w:p w:rsidR="009566F6" w:rsidRDefault="004F391F"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t>3.</w:t>
      </w:r>
      <w:r w:rsidR="002E7B3C">
        <w:rPr>
          <w:rFonts w:ascii="Arial" w:hAnsi="Arial" w:cs="Arial"/>
          <w:b/>
          <w:color w:val="000000" w:themeColor="text1"/>
        </w:rPr>
        <w:t>3</w:t>
      </w:r>
      <w:r>
        <w:rPr>
          <w:rFonts w:ascii="Arial" w:hAnsi="Arial" w:cs="Arial"/>
          <w:b/>
          <w:smallCaps/>
          <w:color w:val="000000" w:themeColor="text1"/>
        </w:rPr>
        <w:t xml:space="preserve">. </w:t>
      </w:r>
      <w:r w:rsidR="00B71F99">
        <w:rPr>
          <w:rFonts w:ascii="Arial" w:hAnsi="Arial" w:cs="Arial"/>
          <w:b/>
        </w:rPr>
        <w:t>Ley General de Salud</w:t>
      </w:r>
      <w:r w:rsidR="00414C05" w:rsidRPr="009566F6">
        <w:rPr>
          <w:rStyle w:val="Refdenotaalpie"/>
          <w:rFonts w:ascii="Arial" w:hAnsi="Arial" w:cs="Arial"/>
          <w:smallCaps/>
          <w:color w:val="000000" w:themeColor="text1"/>
        </w:rPr>
        <w:footnoteReference w:id="76"/>
      </w:r>
    </w:p>
    <w:p w:rsidR="00414C05" w:rsidRPr="003B025A" w:rsidRDefault="00396A81" w:rsidP="009566F6">
      <w:pPr>
        <w:spacing w:after="240" w:line="360" w:lineRule="auto"/>
        <w:jc w:val="both"/>
        <w:rPr>
          <w:rFonts w:ascii="Arial" w:hAnsi="Arial" w:cs="Arial"/>
          <w:highlight w:val="lightGray"/>
        </w:rPr>
      </w:pPr>
      <w:r>
        <w:rPr>
          <w:rFonts w:ascii="Arial" w:hAnsi="Arial" w:cs="Arial"/>
          <w:color w:val="000000" w:themeColor="text1"/>
        </w:rPr>
        <w:t xml:space="preserve">El </w:t>
      </w:r>
      <w:r w:rsidR="00414C05" w:rsidRPr="003B025A">
        <w:rPr>
          <w:rFonts w:ascii="Arial" w:hAnsi="Arial" w:cs="Arial"/>
          <w:color w:val="000000" w:themeColor="text1"/>
        </w:rPr>
        <w:t xml:space="preserve">Capítulo Único del Título Primero, </w:t>
      </w:r>
      <w:r w:rsidR="00414C05" w:rsidRPr="003B025A">
        <w:rPr>
          <w:rFonts w:ascii="Arial" w:hAnsi="Arial" w:cs="Arial"/>
          <w:b/>
          <w:color w:val="000000" w:themeColor="text1"/>
        </w:rPr>
        <w:t>Artículo 2°</w:t>
      </w:r>
      <w:r w:rsidR="00414C05" w:rsidRPr="003B025A">
        <w:rPr>
          <w:rFonts w:ascii="Arial" w:hAnsi="Arial" w:cs="Arial"/>
          <w:color w:val="000000" w:themeColor="text1"/>
        </w:rPr>
        <w:t xml:space="preserve">, Fracciones I, II ,III y IV,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En el Título Cuarto sobre Recursos Humanos para los Servicios de Salud, Capítulo I </w:t>
      </w:r>
      <w:r w:rsidRPr="003B025A">
        <w:rPr>
          <w:rFonts w:ascii="Arial" w:hAnsi="Arial" w:cs="Arial"/>
          <w:b/>
        </w:rPr>
        <w:t>Artículo 81</w:t>
      </w:r>
      <w:r w:rsidRPr="003B025A">
        <w:rPr>
          <w:rFonts w:ascii="Arial" w:hAnsi="Arial" w:cs="Arial"/>
        </w:rPr>
        <w:t xml:space="preserve"> dice: La emisión de los diplomas de especialidades médicas corresponde a las instituciones de educación superior y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El Comité Normativo Nacional de Consejos de Especialidades Médicas tendrá la naturaleza de organismo auxiliar de la Administración Pública Federal a efecto de supervisar el entrenamiento, habilidades, destrezas y calificación de la pericia que se requiere para la certificación y recertificación de la misma en las diferentes especialidades de la medicina </w:t>
      </w:r>
      <w:r w:rsidRPr="003B025A">
        <w:rPr>
          <w:rFonts w:ascii="Arial" w:hAnsi="Arial" w:cs="Arial"/>
        </w:rPr>
        <w:lastRenderedPageBreak/>
        <w:t>reconocidas por el Comité y en las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414C05" w:rsidRPr="003B025A" w:rsidRDefault="00414C05" w:rsidP="003B025A">
      <w:pPr>
        <w:spacing w:after="240" w:line="360" w:lineRule="auto"/>
        <w:jc w:val="both"/>
        <w:rPr>
          <w:rFonts w:ascii="Arial" w:hAnsi="Arial" w:cs="Arial"/>
        </w:rPr>
      </w:pPr>
      <w:r w:rsidRPr="003B025A">
        <w:rPr>
          <w:rFonts w:ascii="Arial" w:hAnsi="Arial" w:cs="Arial"/>
        </w:rPr>
        <w:t>Para la expedición de la cédula de médico especialista las autoridades educativas competentes solicitarán la opinión del Comité Normativo Nacional de Consejos de Especialidades Médicas</w:t>
      </w:r>
      <w:r w:rsidRPr="003B025A">
        <w:rPr>
          <w:rStyle w:val="Refdenotaalpie"/>
          <w:rFonts w:ascii="Arial" w:hAnsi="Arial" w:cs="Arial"/>
        </w:rPr>
        <w:footnoteReference w:id="77"/>
      </w:r>
      <w:r w:rsidRPr="003B025A">
        <w:rPr>
          <w:rFonts w:ascii="Arial" w:hAnsi="Arial" w:cs="Arial"/>
        </w:rPr>
        <w:t>.</w:t>
      </w:r>
    </w:p>
    <w:p w:rsidR="00414C05" w:rsidRPr="003B025A" w:rsidRDefault="00414C05" w:rsidP="00396A81">
      <w:pPr>
        <w:spacing w:after="240" w:line="360" w:lineRule="auto"/>
        <w:jc w:val="both"/>
        <w:rPr>
          <w:rFonts w:ascii="Arial" w:hAnsi="Arial" w:cs="Arial"/>
        </w:rPr>
      </w:pPr>
      <w:r w:rsidRPr="003B025A">
        <w:rPr>
          <w:rFonts w:ascii="Arial" w:hAnsi="Arial" w:cs="Arial"/>
          <w:b/>
        </w:rPr>
        <w:t>Artículo 82.-</w:t>
      </w:r>
      <w:r w:rsidRPr="003B025A">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414C05" w:rsidRPr="003B025A" w:rsidRDefault="00414C05" w:rsidP="00396A81">
      <w:pPr>
        <w:spacing w:after="240" w:line="360" w:lineRule="auto"/>
        <w:jc w:val="both"/>
        <w:rPr>
          <w:rFonts w:ascii="Arial" w:hAnsi="Arial" w:cs="Arial"/>
        </w:rPr>
      </w:pPr>
      <w:r w:rsidRPr="003B025A">
        <w:rPr>
          <w:rFonts w:ascii="Arial" w:hAnsi="Arial" w:cs="Arial"/>
          <w:b/>
        </w:rPr>
        <w:t>Artículo 83.</w:t>
      </w:r>
      <w:r w:rsidRPr="003B025A">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sidRPr="003B025A">
        <w:rPr>
          <w:rStyle w:val="Refdenotaalpie"/>
          <w:rFonts w:ascii="Arial" w:hAnsi="Arial" w:cs="Arial"/>
        </w:rPr>
        <w:footnoteReference w:id="78"/>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Capítulo III referido a la Formación, Capacitación y Actualización del Personal, </w:t>
      </w:r>
      <w:r w:rsidRPr="003B025A">
        <w:rPr>
          <w:rFonts w:ascii="Arial" w:hAnsi="Arial" w:cs="Arial"/>
          <w:b/>
        </w:rPr>
        <w:t>Artículo 89</w:t>
      </w:r>
      <w:r w:rsidRPr="003B025A">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Las autoridades sanitarias, sin perjuicio de la competencia que sobre la materia corresponda a las autoridades educativas y en coordinación con ellas, así como con la </w:t>
      </w:r>
      <w:r w:rsidR="007071CE">
        <w:rPr>
          <w:rFonts w:ascii="Arial" w:hAnsi="Arial" w:cs="Arial"/>
        </w:rPr>
        <w:t>p</w:t>
      </w:r>
      <w:r w:rsidRPr="003B025A">
        <w:rPr>
          <w:rFonts w:ascii="Arial" w:hAnsi="Arial" w:cs="Arial"/>
        </w:rPr>
        <w:t>articipación de las instituciones de salud, establecerán las normas y criterios para la capacitación y actualización de los recursos humanos para la salud.</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lastRenderedPageBreak/>
        <w:t>Artículo 91.</w:t>
      </w:r>
      <w:r w:rsidRPr="003B025A">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El señalamiento de los requisitos para la apertura y funcionamiento de instituciones dedicadas a la formación de recursos humanos para la salud, en los diferentes niveles académicos y técnicos, y</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En la definición del perfil de los profesionales para la salud en sus etapas de formación.</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t>Artículo 92</w:t>
      </w:r>
      <w:r w:rsidRPr="003B025A">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3B025A">
        <w:rPr>
          <w:rStyle w:val="Refdenotaalpie"/>
          <w:rFonts w:ascii="Arial" w:hAnsi="Arial" w:cs="Arial"/>
        </w:rPr>
        <w:footnoteReference w:id="79"/>
      </w:r>
      <w:r w:rsidRPr="003B025A">
        <w:rPr>
          <w:rFonts w:ascii="Arial" w:hAnsi="Arial" w:cs="Arial"/>
        </w:rPr>
        <w:t>.</w:t>
      </w:r>
    </w:p>
    <w:p w:rsidR="00414C05" w:rsidRPr="003B025A" w:rsidRDefault="00414C05" w:rsidP="003B025A">
      <w:pPr>
        <w:spacing w:after="240" w:line="360" w:lineRule="auto"/>
        <w:jc w:val="both"/>
        <w:rPr>
          <w:rFonts w:ascii="Arial" w:hAnsi="Arial" w:cs="Arial"/>
        </w:rPr>
      </w:pPr>
      <w:r w:rsidRPr="003B025A">
        <w:rPr>
          <w:rFonts w:ascii="Arial" w:hAnsi="Arial" w:cs="Arial"/>
          <w:b/>
        </w:rPr>
        <w:t>Artículo 95.</w:t>
      </w:r>
      <w:r w:rsidRPr="003B025A">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414C05" w:rsidRDefault="00414C05" w:rsidP="003B025A">
      <w:pPr>
        <w:spacing w:after="240" w:line="360" w:lineRule="auto"/>
        <w:jc w:val="both"/>
        <w:rPr>
          <w:rFonts w:ascii="Arial" w:hAnsi="Arial" w:cs="Arial"/>
        </w:rPr>
      </w:pPr>
      <w:r w:rsidRPr="003B025A">
        <w:rPr>
          <w:rFonts w:ascii="Arial" w:hAnsi="Arial" w:cs="Arial"/>
        </w:rPr>
        <w:t>La operación de los programas correspondientes en los establecimientos de salud, se llevará a cabo de acuerdo a los lineamientos establecidos por cada una de las instituciones de salud y lo que determinen las autoridades sanitarias competentes.</w:t>
      </w:r>
    </w:p>
    <w:p w:rsidR="00955DAF" w:rsidRDefault="00A40033" w:rsidP="00955DAF">
      <w:pPr>
        <w:spacing w:after="240" w:line="360" w:lineRule="auto"/>
        <w:jc w:val="both"/>
        <w:rPr>
          <w:rFonts w:ascii="Arial" w:hAnsi="Arial" w:cs="Arial"/>
        </w:rPr>
      </w:pPr>
      <w:r>
        <w:rPr>
          <w:rFonts w:ascii="Arial" w:hAnsi="Arial" w:cs="Arial"/>
          <w:b/>
        </w:rPr>
        <w:t>Art</w:t>
      </w:r>
      <w:r w:rsidR="009216C5">
        <w:rPr>
          <w:rFonts w:ascii="Arial" w:hAnsi="Arial" w:cs="Arial"/>
          <w:b/>
        </w:rPr>
        <w:t xml:space="preserve">ículo 96. </w:t>
      </w:r>
      <w:r w:rsidR="00955DAF">
        <w:rPr>
          <w:rFonts w:ascii="Arial" w:hAnsi="Arial" w:cs="Arial"/>
          <w:b/>
        </w:rPr>
        <w:t xml:space="preserve"> </w:t>
      </w:r>
      <w:r w:rsidR="00955DAF">
        <w:rPr>
          <w:rFonts w:ascii="Arial" w:hAnsi="Arial" w:cs="Arial"/>
        </w:rPr>
        <w:t>La investigación para la salud comprende el desarrollo de acciones que contribuyan:</w:t>
      </w:r>
    </w:p>
    <w:p w:rsidR="00955DAF" w:rsidRDefault="00955DAF" w:rsidP="00955DAF">
      <w:pPr>
        <w:pStyle w:val="Prrafodelista"/>
        <w:numPr>
          <w:ilvl w:val="0"/>
          <w:numId w:val="6"/>
        </w:numPr>
        <w:spacing w:after="240" w:line="360" w:lineRule="auto"/>
        <w:jc w:val="both"/>
        <w:rPr>
          <w:rFonts w:ascii="Arial" w:hAnsi="Arial" w:cs="Arial"/>
        </w:rPr>
      </w:pPr>
      <w:r>
        <w:rPr>
          <w:rFonts w:ascii="Arial" w:hAnsi="Arial" w:cs="Arial"/>
        </w:rPr>
        <w:t>Al conocimiento de los procesos biológicos y p</w:t>
      </w:r>
      <w:r w:rsidR="00190F19">
        <w:rPr>
          <w:rFonts w:ascii="Arial" w:hAnsi="Arial" w:cs="Arial"/>
        </w:rPr>
        <w:t xml:space="preserve">sicológicos en los seres humanos; </w:t>
      </w:r>
    </w:p>
    <w:p w:rsidR="00190F19"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conocimiento de los vínculo</w:t>
      </w:r>
      <w:r w:rsidR="00190F19">
        <w:rPr>
          <w:rFonts w:ascii="Arial" w:hAnsi="Arial" w:cs="Arial"/>
        </w:rPr>
        <w:t xml:space="preserve">s entre las causas de enfermedad, ña práctica médica y la estructura social; </w:t>
      </w:r>
    </w:p>
    <w:p w:rsidR="00190F19" w:rsidRDefault="00190F19" w:rsidP="00955DAF">
      <w:pPr>
        <w:pStyle w:val="Prrafodelista"/>
        <w:numPr>
          <w:ilvl w:val="0"/>
          <w:numId w:val="6"/>
        </w:numPr>
        <w:spacing w:after="240" w:line="360" w:lineRule="auto"/>
        <w:jc w:val="both"/>
        <w:rPr>
          <w:rFonts w:ascii="Arial" w:hAnsi="Arial" w:cs="Arial"/>
        </w:rPr>
      </w:pPr>
      <w:r>
        <w:rPr>
          <w:rFonts w:ascii="Arial" w:hAnsi="Arial" w:cs="Arial"/>
        </w:rPr>
        <w:t>A la prevención y control de los problemas de salud</w:t>
      </w:r>
      <w:r w:rsidR="00B00D67">
        <w:rPr>
          <w:rFonts w:ascii="Arial" w:hAnsi="Arial" w:cs="Arial"/>
        </w:rPr>
        <w:t xml:space="preserve"> que se consideren</w:t>
      </w:r>
      <w:r w:rsidR="00385463">
        <w:rPr>
          <w:rFonts w:ascii="Arial" w:hAnsi="Arial" w:cs="Arial"/>
        </w:rPr>
        <w:t xml:space="preserve"> prioritarios para la población;</w:t>
      </w:r>
    </w:p>
    <w:p w:rsidR="00B00D67"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w:t>
      </w:r>
      <w:r w:rsidR="00385463">
        <w:rPr>
          <w:rFonts w:ascii="Arial" w:hAnsi="Arial" w:cs="Arial"/>
        </w:rPr>
        <w:t>cimiento y control de los efectos nocivos del ambiente en salud;</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lastRenderedPageBreak/>
        <w:t xml:space="preserve">Al estudio de las técnicas y métodos que se recomienden o empleen para la prestación de servicios de salud; y </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t>A la producción nacional de insumos para la salud.</w:t>
      </w:r>
    </w:p>
    <w:p w:rsidR="00385463" w:rsidRDefault="00385463" w:rsidP="00385463">
      <w:pPr>
        <w:spacing w:after="240" w:line="360" w:lineRule="auto"/>
        <w:jc w:val="both"/>
        <w:rPr>
          <w:rFonts w:ascii="Arial" w:hAnsi="Arial" w:cs="Arial"/>
        </w:rPr>
      </w:pPr>
      <w:r>
        <w:rPr>
          <w:rFonts w:ascii="Arial" w:hAnsi="Arial" w:cs="Arial"/>
        </w:rPr>
        <w:t>Asimismo, se entenderá lo dispuesto en el Reglamento de la Ley General de Salud en Materia de Investigación para la Salud, publicado en el Diario Oficial de la Federación el 23 de diciembre de 1986.</w:t>
      </w:r>
    </w:p>
    <w:p w:rsidR="00385463" w:rsidRDefault="00385463" w:rsidP="00385463">
      <w:pPr>
        <w:spacing w:after="240" w:line="360" w:lineRule="auto"/>
        <w:jc w:val="both"/>
        <w:rPr>
          <w:rFonts w:ascii="Arial" w:hAnsi="Arial" w:cs="Arial"/>
        </w:rPr>
      </w:pPr>
      <w:r>
        <w:rPr>
          <w:rFonts w:ascii="Arial" w:hAnsi="Arial" w:cs="Arial"/>
        </w:rPr>
        <w:t>La operación de los programas correspondientes en los establecimientos de salud, se llevará a cabo de acuerdo a los lineamientos establecidos por cada una de las instituciones de salud y lio que determinen las autoridades sanitarias competentes.</w:t>
      </w:r>
    </w:p>
    <w:p w:rsidR="000551A4" w:rsidRDefault="000551A4" w:rsidP="002E7B3C">
      <w:pPr>
        <w:spacing w:after="0" w:line="360" w:lineRule="auto"/>
        <w:jc w:val="both"/>
        <w:rPr>
          <w:rFonts w:ascii="Arial" w:hAnsi="Arial" w:cs="Arial"/>
          <w:b/>
        </w:rPr>
      </w:pPr>
      <w:r>
        <w:rPr>
          <w:rFonts w:ascii="Arial" w:hAnsi="Arial" w:cs="Arial"/>
          <w:b/>
        </w:rPr>
        <w:t>3.4 Normas Oficiales Mexicanas</w:t>
      </w:r>
    </w:p>
    <w:p w:rsidR="006F75DB" w:rsidRPr="005075F2" w:rsidRDefault="000551A4" w:rsidP="00385463">
      <w:pPr>
        <w:spacing w:after="240" w:line="360" w:lineRule="auto"/>
        <w:jc w:val="both"/>
        <w:rPr>
          <w:rFonts w:ascii="Arial" w:hAnsi="Arial" w:cs="Arial"/>
        </w:rPr>
      </w:pPr>
      <w:r>
        <w:rPr>
          <w:rFonts w:ascii="Arial" w:hAnsi="Arial" w:cs="Arial"/>
        </w:rPr>
        <w:t>La principal regulación relativa a la operación, organización, funcionamiento y la obtención de la Opinión Técnico Académica para el Programa de la Especialidad Médica en Cirugía General, es:</w:t>
      </w:r>
      <w:r w:rsidR="006F75DB" w:rsidRPr="005075F2">
        <w:rPr>
          <w:rFonts w:ascii="Arial" w:hAnsi="Arial" w:cs="Arial"/>
        </w:rPr>
        <w:t xml:space="preserve"> </w:t>
      </w:r>
    </w:p>
    <w:p w:rsidR="000551A4" w:rsidRDefault="006F75DB" w:rsidP="006D56B3">
      <w:pPr>
        <w:pStyle w:val="Prrafodelista"/>
        <w:numPr>
          <w:ilvl w:val="0"/>
          <w:numId w:val="7"/>
        </w:numPr>
        <w:spacing w:after="240" w:line="360" w:lineRule="auto"/>
        <w:jc w:val="both"/>
        <w:rPr>
          <w:rFonts w:ascii="Arial" w:hAnsi="Arial" w:cs="Arial"/>
          <w:b/>
        </w:rPr>
      </w:pPr>
      <w:r w:rsidRPr="006D56B3">
        <w:rPr>
          <w:rFonts w:ascii="Arial" w:hAnsi="Arial" w:cs="Arial"/>
        </w:rPr>
        <w:t>NORMA Oficial Mexicana NOM-</w:t>
      </w:r>
      <w:r w:rsidR="00EC2BAF">
        <w:rPr>
          <w:rFonts w:ascii="Arial" w:hAnsi="Arial" w:cs="Arial"/>
        </w:rPr>
        <w:t>026</w:t>
      </w:r>
      <w:r w:rsidRPr="006D56B3">
        <w:rPr>
          <w:rFonts w:ascii="Arial" w:hAnsi="Arial" w:cs="Arial"/>
        </w:rPr>
        <w:t>-SSA</w:t>
      </w:r>
      <w:r w:rsidR="00EC2BAF">
        <w:rPr>
          <w:rFonts w:ascii="Arial" w:hAnsi="Arial" w:cs="Arial"/>
        </w:rPr>
        <w:t>3</w:t>
      </w:r>
      <w:r w:rsidRPr="006D56B3">
        <w:rPr>
          <w:rFonts w:ascii="Arial" w:hAnsi="Arial" w:cs="Arial"/>
        </w:rPr>
        <w:t>-20</w:t>
      </w:r>
      <w:r w:rsidR="00EC2BAF">
        <w:rPr>
          <w:rFonts w:ascii="Arial" w:hAnsi="Arial" w:cs="Arial"/>
        </w:rPr>
        <w:t>1</w:t>
      </w:r>
      <w:r w:rsidRPr="006D56B3">
        <w:rPr>
          <w:rFonts w:ascii="Arial" w:hAnsi="Arial" w:cs="Arial"/>
        </w:rPr>
        <w:t xml:space="preserve">2, Para la práctica de la </w:t>
      </w:r>
      <w:r w:rsidRPr="006D56B3">
        <w:rPr>
          <w:rFonts w:ascii="Arial" w:hAnsi="Arial" w:cs="Arial"/>
          <w:b/>
        </w:rPr>
        <w:t>cirugía mayor ambulatoria.</w:t>
      </w:r>
    </w:p>
    <w:p w:rsidR="006F75DB" w:rsidRDefault="00CD4E4C" w:rsidP="00385463">
      <w:pPr>
        <w:pStyle w:val="Prrafodelista"/>
        <w:numPr>
          <w:ilvl w:val="0"/>
          <w:numId w:val="7"/>
        </w:numPr>
        <w:spacing w:after="240" w:line="360" w:lineRule="auto"/>
        <w:jc w:val="both"/>
        <w:rPr>
          <w:rFonts w:ascii="Arial" w:hAnsi="Arial" w:cs="Arial"/>
          <w:b/>
        </w:rPr>
      </w:pPr>
      <w:r w:rsidRPr="006D56B3">
        <w:rPr>
          <w:rFonts w:ascii="Arial" w:hAnsi="Arial" w:cs="Arial"/>
        </w:rPr>
        <w:t>NORMA Oficial Mexicana NOM-017-SSA2-</w:t>
      </w:r>
      <w:r w:rsidR="00EC2BAF">
        <w:rPr>
          <w:rFonts w:ascii="Arial" w:hAnsi="Arial" w:cs="Arial"/>
        </w:rPr>
        <w:t>2012</w:t>
      </w:r>
      <w:r w:rsidRPr="006D56B3">
        <w:rPr>
          <w:rFonts w:ascii="Arial" w:hAnsi="Arial" w:cs="Arial"/>
        </w:rPr>
        <w:t xml:space="preserve">, Para la </w:t>
      </w:r>
      <w:r w:rsidRPr="006D56B3">
        <w:rPr>
          <w:rFonts w:ascii="Arial" w:hAnsi="Arial" w:cs="Arial"/>
          <w:b/>
        </w:rPr>
        <w:t>vigilancia epidemiológica</w:t>
      </w:r>
    </w:p>
    <w:p w:rsidR="006D56B3" w:rsidRPr="006D56B3" w:rsidRDefault="006D56B3" w:rsidP="00385463">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NOM-0</w:t>
      </w:r>
      <w:r>
        <w:rPr>
          <w:rFonts w:ascii="Arial" w:hAnsi="Arial" w:cs="Arial"/>
        </w:rPr>
        <w:t>40</w:t>
      </w:r>
      <w:r w:rsidRPr="006D56B3">
        <w:rPr>
          <w:rFonts w:ascii="Arial" w:hAnsi="Arial" w:cs="Arial"/>
        </w:rPr>
        <w:t>-SSA2-</w:t>
      </w:r>
      <w:r>
        <w:rPr>
          <w:rFonts w:ascii="Arial" w:hAnsi="Arial" w:cs="Arial"/>
        </w:rPr>
        <w:t>200</w:t>
      </w:r>
      <w:r w:rsidRPr="006D56B3">
        <w:rPr>
          <w:rFonts w:ascii="Arial" w:hAnsi="Arial" w:cs="Arial"/>
        </w:rPr>
        <w:t>4</w:t>
      </w:r>
      <w:r>
        <w:rPr>
          <w:rFonts w:ascii="Arial" w:hAnsi="Arial" w:cs="Arial"/>
        </w:rPr>
        <w:t xml:space="preserve">, En materia </w:t>
      </w:r>
      <w:r w:rsidR="001161B6">
        <w:rPr>
          <w:rFonts w:ascii="Arial" w:hAnsi="Arial" w:cs="Arial"/>
        </w:rPr>
        <w:t>de</w:t>
      </w:r>
      <w:r>
        <w:rPr>
          <w:rFonts w:ascii="Arial" w:hAnsi="Arial" w:cs="Arial"/>
        </w:rPr>
        <w:t xml:space="preserve"> </w:t>
      </w:r>
      <w:r w:rsidRPr="006D56B3">
        <w:rPr>
          <w:rFonts w:ascii="Arial" w:hAnsi="Arial" w:cs="Arial"/>
          <w:b/>
        </w:rPr>
        <w:t xml:space="preserve">información </w:t>
      </w:r>
      <w:r>
        <w:rPr>
          <w:rFonts w:ascii="Arial" w:hAnsi="Arial" w:cs="Arial"/>
          <w:b/>
        </w:rPr>
        <w:t>en s</w:t>
      </w:r>
      <w:r w:rsidRPr="006D56B3">
        <w:rPr>
          <w:rFonts w:ascii="Arial" w:hAnsi="Arial" w:cs="Arial"/>
          <w:b/>
        </w:rPr>
        <w:t>alud</w:t>
      </w:r>
    </w:p>
    <w:p w:rsidR="00525C65" w:rsidRDefault="00525C65" w:rsidP="00525C65">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NOM-0</w:t>
      </w:r>
      <w:r>
        <w:rPr>
          <w:rFonts w:ascii="Arial" w:hAnsi="Arial" w:cs="Arial"/>
        </w:rPr>
        <w:t>16</w:t>
      </w:r>
      <w:r w:rsidRPr="006D56B3">
        <w:rPr>
          <w:rFonts w:ascii="Arial" w:hAnsi="Arial" w:cs="Arial"/>
        </w:rPr>
        <w:t>-SSA</w:t>
      </w:r>
      <w:r>
        <w:rPr>
          <w:rFonts w:ascii="Arial" w:hAnsi="Arial" w:cs="Arial"/>
        </w:rPr>
        <w:t>3</w:t>
      </w:r>
      <w:r w:rsidRPr="006D56B3">
        <w:rPr>
          <w:rFonts w:ascii="Arial" w:hAnsi="Arial" w:cs="Arial"/>
        </w:rPr>
        <w:t>-</w:t>
      </w:r>
      <w:r>
        <w:rPr>
          <w:rFonts w:ascii="Arial" w:hAnsi="Arial" w:cs="Arial"/>
        </w:rPr>
        <w:t xml:space="preserve">2012, que establece </w:t>
      </w:r>
      <w:r>
        <w:rPr>
          <w:rFonts w:ascii="Arial" w:hAnsi="Arial" w:cs="Arial"/>
          <w:b/>
        </w:rPr>
        <w:t>las características mínimas de infraestructura y equipamiento de hospitales y consultorios de atención médica especializada</w:t>
      </w:r>
    </w:p>
    <w:p w:rsidR="00525C65" w:rsidRPr="006D56B3" w:rsidRDefault="00525C65" w:rsidP="00525C65">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w:t>
      </w:r>
      <w:r w:rsidR="001161B6">
        <w:rPr>
          <w:rFonts w:ascii="Arial" w:hAnsi="Arial" w:cs="Arial"/>
        </w:rPr>
        <w:t>004</w:t>
      </w:r>
      <w:r w:rsidRPr="006D56B3">
        <w:rPr>
          <w:rFonts w:ascii="Arial" w:hAnsi="Arial" w:cs="Arial"/>
        </w:rPr>
        <w:t>-SSA</w:t>
      </w:r>
      <w:r w:rsidR="001161B6">
        <w:rPr>
          <w:rFonts w:ascii="Arial" w:hAnsi="Arial" w:cs="Arial"/>
        </w:rPr>
        <w:t>3</w:t>
      </w:r>
      <w:r w:rsidRPr="006D56B3">
        <w:rPr>
          <w:rFonts w:ascii="Arial" w:hAnsi="Arial" w:cs="Arial"/>
        </w:rPr>
        <w:t>-</w:t>
      </w:r>
      <w:r w:rsidR="001161B6">
        <w:rPr>
          <w:rFonts w:ascii="Arial" w:hAnsi="Arial" w:cs="Arial"/>
        </w:rPr>
        <w:t>2012</w:t>
      </w:r>
      <w:r>
        <w:rPr>
          <w:rFonts w:ascii="Arial" w:hAnsi="Arial" w:cs="Arial"/>
        </w:rPr>
        <w:t xml:space="preserve">, </w:t>
      </w:r>
      <w:r>
        <w:rPr>
          <w:rFonts w:ascii="Arial" w:hAnsi="Arial" w:cs="Arial"/>
          <w:b/>
        </w:rPr>
        <w:t>del expediente clínico</w:t>
      </w:r>
    </w:p>
    <w:p w:rsidR="00525C65" w:rsidRDefault="00525C65" w:rsidP="00E93154">
      <w:pPr>
        <w:pStyle w:val="Prrafodelista"/>
        <w:numPr>
          <w:ilvl w:val="0"/>
          <w:numId w:val="7"/>
        </w:numPr>
        <w:spacing w:after="240" w:line="360" w:lineRule="auto"/>
        <w:jc w:val="both"/>
        <w:rPr>
          <w:rFonts w:ascii="Arial" w:hAnsi="Arial" w:cs="Arial"/>
          <w:b/>
        </w:rPr>
      </w:pPr>
      <w:r w:rsidRPr="00525C65">
        <w:rPr>
          <w:rFonts w:ascii="Arial" w:hAnsi="Arial" w:cs="Arial"/>
        </w:rPr>
        <w:t xml:space="preserve">NORMA Oficial Mexicana NOM-001-SSA3-2012, Educación en salud. </w:t>
      </w:r>
      <w:r w:rsidRPr="00525C65">
        <w:rPr>
          <w:rFonts w:ascii="Arial" w:hAnsi="Arial" w:cs="Arial"/>
          <w:b/>
        </w:rPr>
        <w:t xml:space="preserve">Para la organización y funcionamiento de residencias médicas </w:t>
      </w:r>
    </w:p>
    <w:p w:rsidR="005075F2" w:rsidRPr="005075F2" w:rsidRDefault="005075F2" w:rsidP="005075F2">
      <w:pPr>
        <w:pStyle w:val="Prrafodelista"/>
        <w:numPr>
          <w:ilvl w:val="0"/>
          <w:numId w:val="7"/>
        </w:numPr>
        <w:spacing w:after="240" w:line="360" w:lineRule="auto"/>
        <w:jc w:val="both"/>
        <w:rPr>
          <w:rFonts w:ascii="Arial" w:hAnsi="Arial" w:cs="Arial"/>
          <w:b/>
        </w:rPr>
      </w:pPr>
      <w:r w:rsidRPr="005075F2">
        <w:rPr>
          <w:rFonts w:ascii="Arial" w:hAnsi="Arial" w:cs="Arial"/>
        </w:rPr>
        <w:t xml:space="preserve">Norma Oficial Mexicana NOM-027-SSA3-2013, Regulación de los servicios de salud. Que establece los </w:t>
      </w:r>
      <w:r w:rsidRPr="005075F2">
        <w:rPr>
          <w:rFonts w:ascii="Arial" w:hAnsi="Arial" w:cs="Arial"/>
          <w:b/>
        </w:rPr>
        <w:t>criterios de funcionamiento y atención en los servicios de urgencias de los establecimientos para la atención médica</w:t>
      </w:r>
      <w:r w:rsidRPr="005075F2">
        <w:rPr>
          <w:rFonts w:ascii="Arial" w:hAnsi="Arial" w:cs="Arial"/>
        </w:rPr>
        <w:t>. Diario Oficial de la Federación, Ciudad de México, México, 04 de septiembre de 2013.</w:t>
      </w:r>
    </w:p>
    <w:p w:rsidR="002E7B3C" w:rsidRDefault="002E7B3C" w:rsidP="00AF2109">
      <w:pPr>
        <w:spacing w:after="240" w:line="360" w:lineRule="auto"/>
        <w:jc w:val="both"/>
        <w:rPr>
          <w:rFonts w:ascii="Arial" w:hAnsi="Arial" w:cs="Arial"/>
          <w:b/>
        </w:rPr>
      </w:pPr>
    </w:p>
    <w:p w:rsidR="000551A4" w:rsidRPr="00AF2109" w:rsidRDefault="00DD00EF" w:rsidP="00AF2109">
      <w:pPr>
        <w:spacing w:after="240" w:line="360" w:lineRule="auto"/>
        <w:jc w:val="both"/>
        <w:rPr>
          <w:rFonts w:ascii="Arial" w:hAnsi="Arial" w:cs="Arial"/>
          <w:b/>
        </w:rPr>
      </w:pPr>
      <w:r>
        <w:rPr>
          <w:rFonts w:ascii="Arial" w:hAnsi="Arial" w:cs="Arial"/>
          <w:b/>
        </w:rPr>
        <w:lastRenderedPageBreak/>
        <w:t>I</w:t>
      </w:r>
      <w:r w:rsidR="00AF2109">
        <w:rPr>
          <w:rFonts w:ascii="Arial" w:hAnsi="Arial" w:cs="Arial"/>
          <w:b/>
        </w:rPr>
        <w:t xml:space="preserve">V. </w:t>
      </w:r>
      <w:r w:rsidRPr="00AF2109">
        <w:rPr>
          <w:rFonts w:ascii="Arial" w:hAnsi="Arial" w:cs="Arial"/>
          <w:b/>
        </w:rPr>
        <w:t xml:space="preserve">DEMANDA EDUCATIVA </w:t>
      </w:r>
      <w:r>
        <w:rPr>
          <w:rFonts w:ascii="Arial" w:hAnsi="Arial" w:cs="Arial"/>
          <w:b/>
        </w:rPr>
        <w:t>E</w:t>
      </w:r>
      <w:r w:rsidRPr="00AF2109">
        <w:rPr>
          <w:rFonts w:ascii="Arial" w:hAnsi="Arial" w:cs="Arial"/>
          <w:b/>
        </w:rPr>
        <w:t>N CIRUGÍA GENERAL</w:t>
      </w:r>
    </w:p>
    <w:p w:rsidR="00E94E74" w:rsidRDefault="00E94E74" w:rsidP="004A55AA">
      <w:pPr>
        <w:spacing w:after="240"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80"/>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81"/>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82"/>
      </w:r>
      <w:r>
        <w:rPr>
          <w:rFonts w:ascii="Arial" w:hAnsi="Arial" w:cs="Arial"/>
          <w:lang w:eastAsia="es-MX"/>
        </w:rPr>
        <w:t xml:space="preserve">. </w:t>
      </w:r>
    </w:p>
    <w:p w:rsidR="00E94E74" w:rsidRDefault="00E94E74" w:rsidP="004A55AA">
      <w:pPr>
        <w:spacing w:after="240"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w:t>
      </w:r>
      <w:proofErr w:type="spellStart"/>
      <w:r>
        <w:rPr>
          <w:rFonts w:ascii="Arial" w:hAnsi="Arial" w:cs="Arial"/>
          <w:lang w:eastAsia="es-MX"/>
        </w:rPr>
        <w:t>Bland</w:t>
      </w:r>
      <w:proofErr w:type="spellEnd"/>
      <w:r>
        <w:rPr>
          <w:rFonts w:ascii="Arial" w:hAnsi="Arial" w:cs="Arial"/>
          <w:lang w:eastAsia="es-MX"/>
        </w:rPr>
        <w:t xml:space="preserve"> y </w:t>
      </w:r>
      <w:proofErr w:type="spellStart"/>
      <w:r>
        <w:rPr>
          <w:rFonts w:ascii="Arial" w:hAnsi="Arial" w:cs="Arial"/>
          <w:lang w:eastAsia="es-MX"/>
        </w:rPr>
        <w:t>Meurer</w:t>
      </w:r>
      <w:proofErr w:type="spellEnd"/>
      <w:r>
        <w:rPr>
          <w:rFonts w:ascii="Arial" w:hAnsi="Arial" w:cs="Arial"/>
          <w:lang w:eastAsia="es-MX"/>
        </w:rPr>
        <w:t xml:space="preserve">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83"/>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84"/>
      </w:r>
      <w:r>
        <w:rPr>
          <w:rFonts w:ascii="Arial" w:hAnsi="Arial" w:cs="Arial"/>
          <w:lang w:eastAsia="es-MX"/>
        </w:rPr>
        <w:t xml:space="preserve">. Este modelo es retomado por Querido </w:t>
      </w:r>
      <w:r w:rsidRPr="000D6ACB">
        <w:rPr>
          <w:rFonts w:ascii="Arial" w:hAnsi="Arial" w:cs="Arial"/>
          <w:i/>
          <w:lang w:eastAsia="es-MX"/>
        </w:rPr>
        <w:t>et al</w:t>
      </w:r>
      <w:r>
        <w:rPr>
          <w:rFonts w:ascii="Arial" w:hAnsi="Arial" w:cs="Arial"/>
          <w:lang w:eastAsia="es-MX"/>
        </w:rPr>
        <w:t xml:space="preserve">, quienes hacen énfasis en que el tipo de escuela es diferente en cada país; la Figura 1 resume dicho modelo y se configura al contexto de México, donde la educación médica se </w:t>
      </w:r>
      <w:r>
        <w:rPr>
          <w:rFonts w:ascii="Arial" w:hAnsi="Arial" w:cs="Arial"/>
          <w:lang w:eastAsia="es-MX"/>
        </w:rPr>
        <w:lastRenderedPageBreak/>
        <w:t>caracteriza por ingresas a la licenciatura una vez terminado los estudios de bachillerato, para después acceder a la especialidad médica.</w:t>
      </w:r>
    </w:p>
    <w:p w:rsidR="00E94E74" w:rsidRPr="002C0B41" w:rsidRDefault="00E94E74" w:rsidP="00E94E74">
      <w:pPr>
        <w:spacing w:line="360" w:lineRule="auto"/>
        <w:jc w:val="center"/>
        <w:rPr>
          <w:rFonts w:ascii="Arial" w:hAnsi="Arial" w:cs="Arial"/>
          <w:b/>
          <w:lang w:eastAsia="es-MX"/>
        </w:rPr>
      </w:pPr>
      <w:r w:rsidRPr="002C0B41">
        <w:rPr>
          <w:rFonts w:ascii="Arial" w:hAnsi="Arial" w:cs="Arial"/>
          <w:b/>
          <w:lang w:eastAsia="es-MX"/>
        </w:rPr>
        <w:t xml:space="preserve">Figura 1. Modelo de </w:t>
      </w:r>
      <w:proofErr w:type="spellStart"/>
      <w:r w:rsidRPr="002C0B41">
        <w:rPr>
          <w:rFonts w:ascii="Arial" w:hAnsi="Arial" w:cs="Arial"/>
          <w:b/>
          <w:lang w:eastAsia="es-MX"/>
        </w:rPr>
        <w:t>Bland-Meurer</w:t>
      </w:r>
      <w:proofErr w:type="spellEnd"/>
      <w:r w:rsidRPr="002C0B41">
        <w:rPr>
          <w:rFonts w:ascii="Arial" w:hAnsi="Arial" w:cs="Arial"/>
          <w:b/>
          <w:lang w:eastAsia="es-MX"/>
        </w:rPr>
        <w:t xml:space="preserve"> (modificaciones de Querido </w:t>
      </w:r>
      <w:r w:rsidRPr="002C0B41">
        <w:rPr>
          <w:rFonts w:ascii="Arial" w:hAnsi="Arial" w:cs="Arial"/>
          <w:b/>
          <w:i/>
          <w:lang w:eastAsia="es-MX"/>
        </w:rPr>
        <w:t>et al</w:t>
      </w:r>
      <w:r w:rsidRPr="002C0B41">
        <w:rPr>
          <w:rFonts w:ascii="Arial" w:hAnsi="Arial" w:cs="Arial"/>
          <w:b/>
          <w:lang w:eastAsia="es-MX"/>
        </w:rPr>
        <w:t>) sobe los factores relacionados con la elección de una especialidad.</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14C4B9BE" wp14:editId="5A16731B">
            <wp:extent cx="4457700" cy="5105400"/>
            <wp:effectExtent l="19050" t="19050" r="19050" b="190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700" cy="5105400"/>
                    </a:xfrm>
                    <a:prstGeom prst="rect">
                      <a:avLst/>
                    </a:prstGeom>
                    <a:ln>
                      <a:solidFill>
                        <a:schemeClr val="tx1"/>
                      </a:solidFill>
                    </a:ln>
                  </pic:spPr>
                </pic:pic>
              </a:graphicData>
            </a:graphic>
          </wp:inline>
        </w:drawing>
      </w:r>
    </w:p>
    <w:p w:rsidR="00E94E74" w:rsidRDefault="00E94E74" w:rsidP="00B81B5F">
      <w:pPr>
        <w:spacing w:after="0" w:line="240" w:lineRule="auto"/>
        <w:ind w:left="708" w:firstLine="708"/>
        <w:jc w:val="center"/>
        <w:rPr>
          <w:rFonts w:ascii="Arial" w:hAnsi="Arial" w:cs="Arial"/>
          <w:lang w:eastAsia="es-MX"/>
        </w:rPr>
      </w:pPr>
      <w:r w:rsidRPr="002C0B41">
        <w:rPr>
          <w:rFonts w:ascii="Arial" w:hAnsi="Arial" w:cs="Arial"/>
          <w:b/>
          <w:sz w:val="18"/>
          <w:lang w:eastAsia="es-MX"/>
        </w:rPr>
        <w:t>Fuente:</w:t>
      </w:r>
      <w:r>
        <w:rPr>
          <w:rFonts w:ascii="Arial" w:hAnsi="Arial" w:cs="Arial"/>
          <w:sz w:val="18"/>
          <w:lang w:eastAsia="es-MX"/>
        </w:rPr>
        <w:t xml:space="preserve"> Gutiérrez </w:t>
      </w:r>
      <w:r w:rsidRPr="00DE354C">
        <w:rPr>
          <w:rFonts w:ascii="Arial" w:hAnsi="Arial" w:cs="Arial"/>
          <w:i/>
          <w:sz w:val="18"/>
          <w:lang w:eastAsia="es-MX"/>
        </w:rPr>
        <w:t>et al</w:t>
      </w:r>
      <w:r w:rsidRPr="002C0B41">
        <w:rPr>
          <w:rFonts w:ascii="Arial" w:hAnsi="Arial" w:cs="Arial"/>
          <w:sz w:val="18"/>
          <w:lang w:eastAsia="es-MX"/>
        </w:rPr>
        <w:t xml:space="preserve"> (2017)</w:t>
      </w:r>
      <w:r>
        <w:rPr>
          <w:rFonts w:ascii="Arial" w:hAnsi="Arial" w:cs="Arial"/>
          <w:sz w:val="18"/>
          <w:lang w:eastAsia="es-MX"/>
        </w:rPr>
        <w:t>, p. 210</w:t>
      </w:r>
      <w:r w:rsidRPr="002C0B41">
        <w:rPr>
          <w:rFonts w:ascii="Arial" w:hAnsi="Arial" w:cs="Arial"/>
          <w:sz w:val="18"/>
          <w:lang w:eastAsia="es-MX"/>
        </w:rPr>
        <w:t>.</w:t>
      </w:r>
    </w:p>
    <w:p w:rsidR="00E94E74" w:rsidRDefault="00E94E74" w:rsidP="00E94E74">
      <w:pPr>
        <w:spacing w:line="360" w:lineRule="auto"/>
        <w:jc w:val="both"/>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w:t>
      </w:r>
      <w:proofErr w:type="spellStart"/>
      <w:r>
        <w:rPr>
          <w:rFonts w:ascii="Arial" w:hAnsi="Arial" w:cs="Arial"/>
          <w:lang w:eastAsia="es-MX"/>
        </w:rPr>
        <w:t>Bland-Meurer</w:t>
      </w:r>
      <w:proofErr w:type="spellEnd"/>
      <w:r>
        <w:rPr>
          <w:rFonts w:ascii="Arial" w:hAnsi="Arial" w:cs="Arial"/>
          <w:lang w:eastAsia="es-MX"/>
        </w:rPr>
        <w:t xml:space="preserve"> (reformulado por Querido </w:t>
      </w:r>
      <w:r w:rsidRPr="00A467B9">
        <w:rPr>
          <w:rFonts w:ascii="Arial" w:hAnsi="Arial" w:cs="Arial"/>
          <w:i/>
          <w:lang w:eastAsia="es-MX"/>
        </w:rPr>
        <w:t>et al</w:t>
      </w:r>
      <w:r>
        <w:rPr>
          <w:rFonts w:ascii="Arial" w:hAnsi="Arial" w:cs="Arial"/>
          <w:lang w:eastAsia="es-MX"/>
        </w:rPr>
        <w:t xml:space="preserve">), Gutiérrez </w:t>
      </w:r>
      <w:r w:rsidRPr="00DE354C">
        <w:rPr>
          <w:rFonts w:ascii="Arial" w:hAnsi="Arial" w:cs="Arial"/>
          <w:i/>
          <w:lang w:eastAsia="es-MX"/>
        </w:rPr>
        <w:t>et al</w:t>
      </w:r>
      <w:r>
        <w:rPr>
          <w:rFonts w:ascii="Arial" w:hAnsi="Arial" w:cs="Arial"/>
          <w:lang w:eastAsia="es-MX"/>
        </w:rPr>
        <w:t xml:space="preserve"> mencionan:</w:t>
      </w:r>
    </w:p>
    <w:p w:rsidR="00E94E74" w:rsidRPr="00A467B9" w:rsidRDefault="00E94E74" w:rsidP="004A55AA">
      <w:pPr>
        <w:spacing w:after="240" w:line="360" w:lineRule="auto"/>
        <w:ind w:left="709"/>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w:t>
      </w:r>
      <w:r w:rsidRPr="00A467B9">
        <w:rPr>
          <w:rFonts w:ascii="Arial" w:hAnsi="Arial" w:cs="Arial"/>
          <w:i/>
          <w:sz w:val="20"/>
          <w:lang w:eastAsia="es-MX"/>
        </w:rPr>
        <w:lastRenderedPageBreak/>
        <w:t xml:space="preserve">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E94E74" w:rsidRDefault="00E94E74" w:rsidP="004A55AA">
      <w:pPr>
        <w:spacing w:after="240"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E94E74" w:rsidRPr="006D6345" w:rsidRDefault="00E94E74" w:rsidP="004A55AA">
      <w:pPr>
        <w:spacing w:after="240"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E94E74" w:rsidRDefault="00E94E74" w:rsidP="004A55AA">
      <w:pPr>
        <w:spacing w:after="240"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programa académico de la Especialidad en Cirugía que oferta la Universidad la Salle</w:t>
      </w:r>
      <w:r>
        <w:rPr>
          <w:rFonts w:ascii="Arial" w:hAnsi="Arial" w:cs="Arial"/>
          <w:lang w:eastAsia="es-MX"/>
        </w:rPr>
        <w:t xml:space="preserv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1A4EE8">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4A55AA" w:rsidRDefault="004A55AA"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E94E74" w:rsidRPr="004A29D9" w:rsidRDefault="00E94E74" w:rsidP="00E94E74">
      <w:pPr>
        <w:spacing w:line="360" w:lineRule="auto"/>
        <w:jc w:val="center"/>
        <w:rPr>
          <w:rFonts w:ascii="Arial" w:hAnsi="Arial" w:cs="Arial"/>
          <w:b/>
          <w:lang w:eastAsia="es-MX"/>
        </w:rPr>
      </w:pPr>
      <w:r w:rsidRPr="004A29D9">
        <w:rPr>
          <w:rFonts w:ascii="Arial" w:hAnsi="Arial" w:cs="Arial"/>
          <w:b/>
          <w:lang w:eastAsia="es-MX"/>
        </w:rPr>
        <w:lastRenderedPageBreak/>
        <w:t xml:space="preserve">Gráfica </w:t>
      </w:r>
      <w:r w:rsidR="001A4EE8">
        <w:rPr>
          <w:rFonts w:ascii="Arial" w:hAnsi="Arial" w:cs="Arial"/>
          <w:b/>
          <w:lang w:eastAsia="es-MX"/>
        </w:rPr>
        <w:t>7</w:t>
      </w:r>
      <w:r w:rsidRPr="004A29D9">
        <w:rPr>
          <w:rFonts w:ascii="Arial" w:hAnsi="Arial" w:cs="Arial"/>
          <w:b/>
          <w:lang w:eastAsia="es-MX"/>
        </w:rPr>
        <w:t>. Tasa de médicos graduados en diversos países de la OCDE, 2016 (o años más reciente).</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2A4ABEC8" wp14:editId="1085CEAF">
            <wp:extent cx="5172076" cy="2995614"/>
            <wp:effectExtent l="0" t="0" r="9525" b="14605"/>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94E74" w:rsidRPr="00075890" w:rsidRDefault="00E94E74" w:rsidP="00B81B5F">
      <w:pPr>
        <w:spacing w:after="0" w:line="24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E94E74" w:rsidRDefault="00E94E74" w:rsidP="00AF2109">
      <w:pPr>
        <w:spacing w:after="240" w:line="360" w:lineRule="auto"/>
        <w:jc w:val="center"/>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85"/>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86"/>
      </w:r>
      <w:r>
        <w:rPr>
          <w:rFonts w:ascii="Arial" w:hAnsi="Arial" w:cs="Arial"/>
          <w:lang w:eastAsia="es-MX"/>
        </w:rPr>
        <w:t xml:space="preserve">. Entonces, la </w:t>
      </w:r>
      <w:r w:rsidRPr="0045180E">
        <w:rPr>
          <w:rFonts w:ascii="Arial" w:hAnsi="Arial" w:cs="Arial"/>
          <w:lang w:eastAsia="es-MX"/>
        </w:rPr>
        <w:t>demanda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1A4EE8">
        <w:rPr>
          <w:rFonts w:ascii="Arial" w:hAnsi="Arial" w:cs="Arial"/>
          <w:lang w:eastAsia="es-MX"/>
        </w:rPr>
        <w:t>8</w:t>
      </w:r>
      <w:r>
        <w:rPr>
          <w:rFonts w:ascii="Arial" w:hAnsi="Arial" w:cs="Arial"/>
          <w:lang w:eastAsia="es-MX"/>
        </w:rPr>
        <w:t xml:space="preserve"> muestra la evolución de los sustentantes en el período 2010-2018; en estos años se muestra una clara tendencia </w:t>
      </w:r>
      <w:r w:rsidR="001A4EE8">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w:t>
      </w:r>
      <w:r>
        <w:rPr>
          <w:rFonts w:ascii="Arial" w:hAnsi="Arial" w:cs="Arial"/>
          <w:lang w:eastAsia="es-MX"/>
        </w:rPr>
        <w:lastRenderedPageBreak/>
        <w:t xml:space="preserve">especialidades médicas (38.9-44.2 para un IP de 95%). Para 2024, el pronóstico indica </w:t>
      </w:r>
      <w:proofErr w:type="gramStart"/>
      <w:r>
        <w:rPr>
          <w:rFonts w:ascii="Arial" w:hAnsi="Arial" w:cs="Arial"/>
          <w:lang w:eastAsia="es-MX"/>
        </w:rPr>
        <w:t>que</w:t>
      </w:r>
      <w:proofErr w:type="gramEnd"/>
      <w:r>
        <w:rPr>
          <w:rFonts w:ascii="Arial" w:hAnsi="Arial" w:cs="Arial"/>
          <w:lang w:eastAsia="es-MX"/>
        </w:rPr>
        <w:t xml:space="preserve"> de seguir la tendencia </w:t>
      </w:r>
      <w:r w:rsidR="004A55AA">
        <w:rPr>
          <w:rFonts w:ascii="Arial" w:hAnsi="Arial" w:cs="Arial"/>
          <w:lang w:eastAsia="es-MX"/>
        </w:rPr>
        <w:t>al alza</w:t>
      </w:r>
      <w:r>
        <w:rPr>
          <w:rFonts w:ascii="Arial" w:hAnsi="Arial" w:cs="Arial"/>
          <w:lang w:eastAsia="es-MX"/>
        </w:rPr>
        <w:t>, la demanda de médicos por las especialidades puede ser 53.4 sustentantes (50.7-56.1 IP 95%).</w:t>
      </w:r>
    </w:p>
    <w:p w:rsidR="00E94E74" w:rsidRPr="00914CC9" w:rsidRDefault="00E94E74" w:rsidP="00E94E74">
      <w:pPr>
        <w:spacing w:line="360" w:lineRule="auto"/>
        <w:jc w:val="center"/>
        <w:rPr>
          <w:rFonts w:ascii="Arial" w:hAnsi="Arial" w:cs="Arial"/>
          <w:b/>
          <w:lang w:eastAsia="es-MX"/>
        </w:rPr>
      </w:pPr>
      <w:r w:rsidRPr="00914CC9">
        <w:rPr>
          <w:rFonts w:ascii="Arial" w:hAnsi="Arial" w:cs="Arial"/>
          <w:b/>
          <w:lang w:eastAsia="es-MX"/>
        </w:rPr>
        <w:t>Gráfica</w:t>
      </w:r>
      <w:r w:rsidR="00AA6A2C">
        <w:rPr>
          <w:rFonts w:ascii="Arial" w:hAnsi="Arial" w:cs="Arial"/>
          <w:b/>
          <w:lang w:eastAsia="es-MX"/>
        </w:rPr>
        <w:t xml:space="preserve"> 8</w:t>
      </w:r>
      <w:r w:rsidRPr="00914CC9">
        <w:rPr>
          <w:rFonts w:ascii="Arial" w:hAnsi="Arial" w:cs="Arial"/>
          <w:b/>
          <w:lang w:eastAsia="es-MX"/>
        </w:rPr>
        <w:t>. Evolución y pronósticos de sustentantes del ENARM, 2010-2014.</w:t>
      </w:r>
    </w:p>
    <w:p w:rsidR="00E94E74" w:rsidRDefault="00E94E74" w:rsidP="00E94E74">
      <w:pPr>
        <w:spacing w:after="0" w:line="360" w:lineRule="auto"/>
        <w:jc w:val="center"/>
        <w:rPr>
          <w:rFonts w:ascii="Arial" w:hAnsi="Arial" w:cs="Arial"/>
          <w:lang w:eastAsia="es-MX"/>
        </w:rPr>
      </w:pPr>
      <w:r>
        <w:rPr>
          <w:noProof/>
          <w:lang w:eastAsia="es-MX"/>
        </w:rPr>
        <w:drawing>
          <wp:inline distT="0" distB="0" distL="0" distR="0" wp14:anchorId="7856C2BF" wp14:editId="337A1BEA">
            <wp:extent cx="5005388" cy="2852738"/>
            <wp:effectExtent l="0" t="0" r="5080" b="508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94E74" w:rsidRPr="000A3DCE" w:rsidRDefault="00E94E74" w:rsidP="00E94E74">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E94E74" w:rsidRDefault="00E94E74" w:rsidP="00E94E74">
      <w:pPr>
        <w:spacing w:line="360" w:lineRule="auto"/>
        <w:jc w:val="center"/>
        <w:rPr>
          <w:rFonts w:ascii="Arial" w:hAnsi="Arial" w:cs="Arial"/>
          <w:lang w:eastAsia="es-MX"/>
        </w:rPr>
      </w:pPr>
    </w:p>
    <w:p w:rsidR="00E94E74" w:rsidRDefault="00E94E74" w:rsidP="002D6D20">
      <w:pPr>
        <w:spacing w:after="240" w:line="360" w:lineRule="auto"/>
        <w:jc w:val="both"/>
        <w:rPr>
          <w:rFonts w:ascii="Arial" w:hAnsi="Arial" w:cs="Arial"/>
          <w:lang w:eastAsia="es-MX"/>
        </w:rPr>
      </w:pPr>
      <w:r>
        <w:rPr>
          <w:rFonts w:ascii="Arial" w:hAnsi="Arial" w:cs="Arial"/>
          <w:lang w:eastAsia="es-MX"/>
        </w:rPr>
        <w:t xml:space="preserve">Específicamente para la especialidad de Cirugía, en 2018, se ofertaron 809 lugares, es decir, 9.2% de las plazas ofertadas por el ENARM corresponden a dicha especialidad. Durante el período 2012-2018 (Gráfica) se observa un incremento absoluto en los lugares ofertados de la especialidad, de tal forma que la tasa promedio de crecimiento es de 4.2%, con la singularidad del año 2017, donde hubo un incremento en la oferta de 11% (en comparación con al año anterior), para así alcanzar el nivel por arriba de 800 lugares ofertados por año. Adicionalmente, es importante señalar que las cifras de postulantes y seleccionados por especialidad no están disponibles en el portal web de </w:t>
      </w:r>
      <w:r w:rsidRPr="004B3C09">
        <w:rPr>
          <w:rFonts w:ascii="Arial" w:hAnsi="Arial" w:cs="Arial"/>
          <w:lang w:eastAsia="es-MX"/>
        </w:rPr>
        <w:t>CIFRHS</w:t>
      </w:r>
      <w:r>
        <w:rPr>
          <w:rFonts w:ascii="Arial" w:hAnsi="Arial" w:cs="Arial"/>
          <w:lang w:eastAsia="es-MX"/>
        </w:rPr>
        <w:t>, lo cual representa la demanda neta de la especialidad. A pesar de lo anterior, en este análisis se asume que los lugares ofertados para la especialidad se ocupan al 100%, ya que el número de sustentantes es 4.5 veces mayor a lo ofertado; por ejemplo, Fajardo menciona que sólo 1 de 8 aspirantes tendrá un lugar para la especialidad de Cirugía</w:t>
      </w:r>
      <w:r>
        <w:rPr>
          <w:rStyle w:val="Refdenotaalpie"/>
          <w:rFonts w:ascii="Arial" w:hAnsi="Arial" w:cs="Arial"/>
          <w:lang w:eastAsia="es-MX"/>
        </w:rPr>
        <w:footnoteReference w:id="87"/>
      </w:r>
      <w:r>
        <w:rPr>
          <w:rFonts w:ascii="Arial" w:hAnsi="Arial" w:cs="Arial"/>
          <w:lang w:eastAsia="es-MX"/>
        </w:rPr>
        <w:t xml:space="preserve">. Por otro lado, si la demanda por la especialidad en Cirugía fuera análoga a la proporción que ésta representa </w:t>
      </w:r>
      <w:r>
        <w:rPr>
          <w:rFonts w:ascii="Arial" w:hAnsi="Arial" w:cs="Arial"/>
          <w:lang w:eastAsia="es-MX"/>
        </w:rPr>
        <w:lastRenderedPageBreak/>
        <w:t>en el total de lugares ofertados, entonces existirían alrededor de 3,675 médicos postulando a la especialidad, pero como se mencionó oportunamente, la formación de médicos especialistas se ha dado de forma inercial, es decir, “</w:t>
      </w:r>
      <w:r w:rsidRPr="00594786">
        <w:rPr>
          <w:rFonts w:ascii="Arial" w:hAnsi="Arial" w:cs="Arial"/>
          <w:i/>
          <w:lang w:eastAsia="es-MX"/>
        </w:rPr>
        <w:t>no obedecen a una proyección prospectiva y organizada, sino más bien a tendencias inerciales o a carencias en ciertas áreas que se pretenden remediar con aumentos inmediatos en el número de ellas</w:t>
      </w:r>
      <w:r>
        <w:rPr>
          <w:rFonts w:ascii="Arial" w:hAnsi="Arial" w:cs="Arial"/>
          <w:lang w:eastAsia="es-MX"/>
        </w:rPr>
        <w:t>”</w:t>
      </w:r>
      <w:r>
        <w:rPr>
          <w:rStyle w:val="Refdenotaalpie"/>
          <w:rFonts w:ascii="Arial" w:hAnsi="Arial" w:cs="Arial"/>
          <w:lang w:eastAsia="es-MX"/>
        </w:rPr>
        <w:footnoteReference w:id="88"/>
      </w:r>
      <w:r>
        <w:rPr>
          <w:rFonts w:ascii="Arial" w:hAnsi="Arial" w:cs="Arial"/>
          <w:lang w:eastAsia="es-MX"/>
        </w:rPr>
        <w:t>.</w:t>
      </w:r>
    </w:p>
    <w:p w:rsidR="00E94E74" w:rsidRPr="000E4FBB" w:rsidRDefault="00E94E74" w:rsidP="00E94E74">
      <w:pPr>
        <w:spacing w:line="360" w:lineRule="auto"/>
        <w:jc w:val="center"/>
        <w:rPr>
          <w:rFonts w:ascii="Arial" w:hAnsi="Arial" w:cs="Arial"/>
          <w:b/>
          <w:lang w:eastAsia="es-MX"/>
        </w:rPr>
      </w:pPr>
      <w:r w:rsidRPr="000E4FBB">
        <w:rPr>
          <w:rFonts w:ascii="Arial" w:hAnsi="Arial" w:cs="Arial"/>
          <w:b/>
          <w:lang w:eastAsia="es-MX"/>
        </w:rPr>
        <w:t>Gráfica</w:t>
      </w:r>
      <w:r w:rsidR="00FC0100">
        <w:rPr>
          <w:rFonts w:ascii="Arial" w:hAnsi="Arial" w:cs="Arial"/>
          <w:b/>
          <w:lang w:eastAsia="es-MX"/>
        </w:rPr>
        <w:t xml:space="preserve"> 9</w:t>
      </w:r>
      <w:r w:rsidRPr="000E4FBB">
        <w:rPr>
          <w:rFonts w:ascii="Arial" w:hAnsi="Arial" w:cs="Arial"/>
          <w:b/>
          <w:lang w:eastAsia="es-MX"/>
        </w:rPr>
        <w:t>. Lugares ofertados en la especialidad de Cirugía en las convocatorias del ENARM, 2012-2018.</w:t>
      </w:r>
    </w:p>
    <w:p w:rsidR="00E94E74" w:rsidRDefault="00E94E74" w:rsidP="00E94E74">
      <w:pPr>
        <w:spacing w:after="0" w:line="360" w:lineRule="auto"/>
        <w:jc w:val="center"/>
        <w:rPr>
          <w:rFonts w:ascii="Arial" w:hAnsi="Arial" w:cs="Arial"/>
          <w:lang w:eastAsia="es-MX"/>
        </w:rPr>
      </w:pPr>
      <w:r>
        <w:rPr>
          <w:noProof/>
          <w:lang w:eastAsia="es-MX"/>
        </w:rPr>
        <w:drawing>
          <wp:inline distT="0" distB="0" distL="0" distR="0" wp14:anchorId="6E8DA3AA" wp14:editId="4ACCB1C9">
            <wp:extent cx="4572000" cy="2743200"/>
            <wp:effectExtent l="0" t="0" r="0" b="0"/>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E94E74" w:rsidRDefault="00E94E74" w:rsidP="00E94E74">
      <w:pPr>
        <w:spacing w:after="0" w:line="360" w:lineRule="auto"/>
        <w:jc w:val="center"/>
        <w:rPr>
          <w:rFonts w:ascii="Arial" w:hAnsi="Arial" w:cs="Arial"/>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r>
        <w:rPr>
          <w:rFonts w:ascii="Arial" w:hAnsi="Arial" w:cs="Arial"/>
          <w:sz w:val="18"/>
          <w:lang w:eastAsia="es-MX"/>
        </w:rPr>
        <w:t>CIFRHS (2012-2018).</w:t>
      </w:r>
    </w:p>
    <w:p w:rsidR="00E94E74" w:rsidRDefault="00E94E74" w:rsidP="00095941">
      <w:pPr>
        <w:spacing w:after="0" w:line="360" w:lineRule="auto"/>
        <w:jc w:val="both"/>
        <w:rPr>
          <w:rFonts w:ascii="Arial" w:hAnsi="Arial" w:cs="Arial"/>
          <w:lang w:eastAsia="es-MX"/>
        </w:rPr>
      </w:pPr>
    </w:p>
    <w:p w:rsidR="00E07E4C" w:rsidRDefault="00E94E74" w:rsidP="002D6D20">
      <w:pPr>
        <w:spacing w:after="240"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89"/>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90"/>
      </w:r>
      <w:r>
        <w:rPr>
          <w:rFonts w:ascii="Arial" w:hAnsi="Arial" w:cs="Arial"/>
          <w:lang w:eastAsia="es-MX"/>
        </w:rPr>
        <w:t xml:space="preserve">. La demanda–y la oferta– de las especialidades médicas deberán de </w:t>
      </w:r>
      <w:r>
        <w:rPr>
          <w:rFonts w:ascii="Arial" w:hAnsi="Arial" w:cs="Arial"/>
          <w:lang w:eastAsia="es-MX"/>
        </w:rPr>
        <w:lastRenderedPageBreak/>
        <w:t>vincular tanto una demanda social por la educación de calidad, como las necesidades de salud (perfil epidemiológico, modelo de atención, etcétera) y el perfil demográfico del país.</w:t>
      </w:r>
    </w:p>
    <w:p w:rsidR="00E844FF" w:rsidRPr="00E77384" w:rsidRDefault="00E844FF" w:rsidP="002D6D20">
      <w:pPr>
        <w:spacing w:after="240" w:line="360" w:lineRule="auto"/>
        <w:ind w:right="-79"/>
        <w:jc w:val="both"/>
        <w:rPr>
          <w:rFonts w:ascii="Arial" w:eastAsiaTheme="majorEastAsia" w:hAnsi="Arial" w:cs="Arial"/>
          <w:b/>
          <w:lang w:bidi="en-US"/>
        </w:rPr>
      </w:pPr>
      <w:r>
        <w:rPr>
          <w:rFonts w:ascii="Arial" w:eastAsiaTheme="majorEastAsia" w:hAnsi="Arial" w:cs="Arial"/>
          <w:b/>
          <w:lang w:bidi="en-US"/>
        </w:rPr>
        <w:t>V</w:t>
      </w:r>
      <w:r w:rsidRPr="00E77384">
        <w:rPr>
          <w:rFonts w:ascii="Arial" w:eastAsiaTheme="majorEastAsia" w:hAnsi="Arial" w:cs="Arial"/>
          <w:b/>
          <w:lang w:bidi="en-US"/>
        </w:rPr>
        <w:t xml:space="preserve">. MERCADO LABORAL </w:t>
      </w:r>
    </w:p>
    <w:p w:rsidR="00E844FF" w:rsidRDefault="00E844FF" w:rsidP="002D6D20">
      <w:pPr>
        <w:spacing w:after="240"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91"/>
      </w:r>
      <w:r>
        <w:rPr>
          <w:rFonts w:ascii="Arial" w:hAnsi="Arial" w:cs="Arial"/>
        </w:rPr>
        <w:t xml:space="preserve">, en cambio, en el sector </w:t>
      </w:r>
      <w:r w:rsidR="004B7734">
        <w:rPr>
          <w:rFonts w:ascii="Arial" w:hAnsi="Arial" w:cs="Arial"/>
        </w:rPr>
        <w:t>privado</w:t>
      </w:r>
      <w:r>
        <w:rPr>
          <w:rFonts w:ascii="Arial" w:hAnsi="Arial" w:cs="Arial"/>
        </w:rPr>
        <w:t xml:space="preserve"> se estima una proporción de 48%</w:t>
      </w:r>
      <w:r>
        <w:rPr>
          <w:rStyle w:val="Refdenotaalpie"/>
          <w:rFonts w:ascii="Arial" w:hAnsi="Arial" w:cs="Arial"/>
        </w:rPr>
        <w:footnoteReference w:id="92"/>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93"/>
      </w:r>
      <w:r>
        <w:rPr>
          <w:rFonts w:ascii="Arial" w:hAnsi="Arial" w:cs="Arial"/>
        </w:rPr>
        <w:t xml:space="preserve">. </w:t>
      </w:r>
    </w:p>
    <w:p w:rsidR="00E844FF" w:rsidRDefault="00E844FF" w:rsidP="002D6D20">
      <w:pPr>
        <w:spacing w:after="240" w:line="360" w:lineRule="auto"/>
        <w:jc w:val="both"/>
        <w:rPr>
          <w:rFonts w:ascii="Arial" w:hAnsi="Arial" w:cs="Arial"/>
        </w:rPr>
      </w:pPr>
      <w:r>
        <w:rPr>
          <w:rFonts w:ascii="Arial" w:hAnsi="Arial" w:cs="Arial"/>
        </w:rPr>
        <w:t xml:space="preserve">Respecto a la distribución geográfica de los especialistas (Cuadro </w:t>
      </w:r>
      <w:r w:rsidR="00C86F7D">
        <w:rPr>
          <w:rFonts w:ascii="Arial" w:hAnsi="Arial" w:cs="Arial"/>
        </w:rPr>
        <w:t>12</w:t>
      </w:r>
      <w:r>
        <w:rPr>
          <w:rFonts w:ascii="Arial" w:hAnsi="Arial" w:cs="Arial"/>
        </w:rPr>
        <w:t>), tan sólo la Ciudad de México aglomera 30.1% de los especialistas a nivel nacional, le siguen Jalisco, el Estado de México y Nuevo León con 9.4%, 8.1% y 6.6%, respectivamente</w:t>
      </w:r>
      <w:r>
        <w:rPr>
          <w:rStyle w:val="Refdenotaalpie"/>
          <w:rFonts w:ascii="Arial" w:hAnsi="Arial" w:cs="Arial"/>
        </w:rPr>
        <w:footnoteReference w:id="94"/>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95"/>
      </w:r>
      <w:r>
        <w:rPr>
          <w:rFonts w:ascii="Arial" w:hAnsi="Arial" w:cs="Arial"/>
        </w:rPr>
        <w:t>.</w:t>
      </w:r>
    </w:p>
    <w:p w:rsidR="00E844FF" w:rsidRPr="00C06872" w:rsidRDefault="00E844FF" w:rsidP="002D6D20">
      <w:pPr>
        <w:spacing w:after="240" w:line="240" w:lineRule="auto"/>
        <w:jc w:val="center"/>
        <w:rPr>
          <w:rFonts w:ascii="Arial" w:hAnsi="Arial" w:cs="Arial"/>
          <w:b/>
        </w:rPr>
      </w:pPr>
      <w:r w:rsidRPr="00C06872">
        <w:rPr>
          <w:rFonts w:ascii="Arial" w:hAnsi="Arial" w:cs="Arial"/>
          <w:b/>
        </w:rPr>
        <w:lastRenderedPageBreak/>
        <w:t>Cuadro</w:t>
      </w:r>
      <w:r>
        <w:rPr>
          <w:rFonts w:ascii="Arial" w:hAnsi="Arial" w:cs="Arial"/>
          <w:b/>
        </w:rPr>
        <w:t xml:space="preserve"> </w:t>
      </w:r>
      <w:r w:rsidR="00C86F7D">
        <w:rPr>
          <w:rFonts w:ascii="Arial" w:hAnsi="Arial" w:cs="Arial"/>
          <w:b/>
        </w:rPr>
        <w:t>12</w:t>
      </w:r>
      <w:r w:rsidRPr="00C06872">
        <w:rPr>
          <w:rFonts w:ascii="Arial" w:hAnsi="Arial" w:cs="Arial"/>
          <w:b/>
        </w:rPr>
        <w:t>. Distribución de los especialistas médicos 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380"/>
        <w:gridCol w:w="1200"/>
      </w:tblGrid>
      <w:tr w:rsidR="00E844FF" w:rsidRPr="00C06872" w:rsidTr="00E93154">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Tasa</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505.7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185.3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172.0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135.0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103.0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87.2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86.2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83.3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79.8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70.2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69.1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61.9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51.7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39.2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35.9</w:t>
            </w:r>
          </w:p>
        </w:tc>
      </w:tr>
    </w:tbl>
    <w:p w:rsidR="00E844FF" w:rsidRPr="00B13AFE" w:rsidRDefault="00E844FF" w:rsidP="00E844FF">
      <w:pPr>
        <w:spacing w:line="360" w:lineRule="auto"/>
        <w:ind w:left="2124" w:firstLine="708"/>
        <w:jc w:val="both"/>
        <w:rPr>
          <w:rFonts w:ascii="Arial" w:hAnsi="Arial" w:cs="Arial"/>
          <w:sz w:val="20"/>
        </w:rPr>
      </w:pPr>
      <w:r w:rsidRPr="00B13AFE">
        <w:rPr>
          <w:rFonts w:ascii="Arial" w:hAnsi="Arial" w:cs="Arial"/>
          <w:b/>
          <w:sz w:val="20"/>
        </w:rPr>
        <w:t>Fuente:</w:t>
      </w:r>
      <w:r w:rsidRPr="00B13AFE">
        <w:rPr>
          <w:rFonts w:ascii="Arial" w:hAnsi="Arial" w:cs="Arial"/>
          <w:sz w:val="20"/>
        </w:rPr>
        <w:t xml:space="preserve"> </w:t>
      </w:r>
      <w:proofErr w:type="spellStart"/>
      <w:r w:rsidRPr="00B13AFE">
        <w:rPr>
          <w:rFonts w:ascii="Arial" w:hAnsi="Arial" w:cs="Arial"/>
          <w:sz w:val="20"/>
        </w:rPr>
        <w:t>Heinze</w:t>
      </w:r>
      <w:proofErr w:type="spellEnd"/>
      <w:r w:rsidRPr="00B13AFE">
        <w:rPr>
          <w:rFonts w:ascii="Arial" w:hAnsi="Arial" w:cs="Arial"/>
          <w:sz w:val="20"/>
        </w:rPr>
        <w:t xml:space="preserve"> </w:t>
      </w:r>
      <w:r w:rsidRPr="00B13AFE">
        <w:rPr>
          <w:rFonts w:ascii="Arial" w:hAnsi="Arial" w:cs="Arial"/>
          <w:i/>
          <w:sz w:val="20"/>
        </w:rPr>
        <w:t>et al</w:t>
      </w:r>
      <w:r w:rsidRPr="00B13AFE">
        <w:rPr>
          <w:rFonts w:ascii="Arial" w:hAnsi="Arial" w:cs="Arial"/>
          <w:sz w:val="20"/>
        </w:rPr>
        <w:t xml:space="preserve"> (2018), p. 344.</w:t>
      </w:r>
    </w:p>
    <w:p w:rsidR="00E844FF" w:rsidRDefault="00E844FF" w:rsidP="002D6D20">
      <w:pPr>
        <w:spacing w:after="240" w:line="360" w:lineRule="auto"/>
        <w:jc w:val="both"/>
        <w:rPr>
          <w:rFonts w:ascii="Arial" w:hAnsi="Arial" w:cs="Arial"/>
        </w:rPr>
      </w:pPr>
      <w:r>
        <w:rPr>
          <w:rFonts w:ascii="Arial" w:hAnsi="Arial" w:cs="Arial"/>
        </w:rPr>
        <w:t xml:space="preserve">Respecto a lo anterior, es importante señalar que los recursos humanos son el activo principal de los sistemas de salud, y la capacidad de respuesta de éstos dependen, entre </w:t>
      </w:r>
      <w:r>
        <w:rPr>
          <w:rFonts w:ascii="Arial" w:hAnsi="Arial" w:cs="Arial"/>
        </w:rPr>
        <w:lastRenderedPageBreak/>
        <w:t>otros factores, del tamaño, composición, distribución y productividad de su fuerza laboral</w:t>
      </w:r>
      <w:r>
        <w:rPr>
          <w:rStyle w:val="Refdenotaalpie"/>
          <w:rFonts w:ascii="Arial" w:hAnsi="Arial" w:cs="Arial"/>
        </w:rPr>
        <w:footnoteReference w:id="96"/>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97"/>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98"/>
      </w:r>
      <w:r>
        <w:rPr>
          <w:rFonts w:ascii="Arial" w:hAnsi="Arial" w:cs="Arial"/>
        </w:rPr>
        <w:t>.</w:t>
      </w:r>
    </w:p>
    <w:p w:rsidR="00E844FF" w:rsidRDefault="00E844FF" w:rsidP="002D6D20">
      <w:pPr>
        <w:spacing w:after="240"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E844FF" w:rsidRDefault="00E844FF" w:rsidP="002D6D20">
      <w:pPr>
        <w:spacing w:after="240"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sus perfiles 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 xml:space="preserve">intensifiquen los mecanismos de promoción para atraer a los </w:t>
      </w:r>
      <w:r w:rsidRPr="000B10B8">
        <w:rPr>
          <w:rFonts w:ascii="Arial" w:hAnsi="Arial" w:cs="Arial"/>
          <w:sz w:val="20"/>
        </w:rPr>
        <w:lastRenderedPageBreak/>
        <w:t>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99"/>
      </w:r>
    </w:p>
    <w:p w:rsidR="00E844FF" w:rsidRDefault="00E844FF" w:rsidP="002D6D20">
      <w:pPr>
        <w:spacing w:after="240"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E844FF" w:rsidRDefault="00E844FF" w:rsidP="002D6D20">
      <w:pPr>
        <w:spacing w:after="240"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100"/>
      </w:r>
      <w:r>
        <w:rPr>
          <w:rFonts w:ascii="Arial" w:hAnsi="Arial" w:cs="Arial"/>
        </w:rPr>
        <w:t xml:space="preserve"> </w:t>
      </w:r>
      <w:r>
        <w:rPr>
          <w:rStyle w:val="Refdenotaalpie"/>
          <w:rFonts w:ascii="Arial" w:hAnsi="Arial" w:cs="Arial"/>
        </w:rPr>
        <w:footnoteReference w:id="101"/>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w:t>
      </w:r>
      <w:proofErr w:type="spellStart"/>
      <w:r>
        <w:rPr>
          <w:rFonts w:ascii="Arial" w:hAnsi="Arial" w:cs="Arial"/>
        </w:rPr>
        <w:t>Nigenda</w:t>
      </w:r>
      <w:proofErr w:type="spellEnd"/>
      <w:r>
        <w:rPr>
          <w:rFonts w:ascii="Arial" w:hAnsi="Arial" w:cs="Arial"/>
        </w:rPr>
        <w:t xml:space="preserve"> </w:t>
      </w:r>
      <w:r w:rsidRPr="005C538D">
        <w:rPr>
          <w:rFonts w:ascii="Arial" w:hAnsi="Arial" w:cs="Arial"/>
          <w:i/>
        </w:rPr>
        <w:t>et al</w:t>
      </w:r>
      <w:r>
        <w:rPr>
          <w:rFonts w:ascii="Arial" w:hAnsi="Arial" w:cs="Arial"/>
        </w:rPr>
        <w:t xml:space="preserve"> señalan problemas de ineficiencia en la inserción de los médicos –generales y especialistas– al mercado laboral; sus estimaciones sugieren que 87.7% de los médicos en el país están empleados, por otro lado 8.9% de estos profesionistas están en el subempleo y 3.4% en el </w:t>
      </w:r>
      <w:r>
        <w:rPr>
          <w:rFonts w:ascii="Arial" w:hAnsi="Arial" w:cs="Arial"/>
        </w:rPr>
        <w:lastRenderedPageBreak/>
        <w:t>desempleo, por lo cual hay un desperdicio de 12.3% de los médicos a nivel nacional</w:t>
      </w:r>
      <w:r>
        <w:rPr>
          <w:rStyle w:val="Refdenotaalpie"/>
          <w:rFonts w:ascii="Arial" w:hAnsi="Arial" w:cs="Arial"/>
        </w:rPr>
        <w:footnoteReference w:id="102"/>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103"/>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104"/>
      </w:r>
      <w:r>
        <w:rPr>
          <w:rFonts w:ascii="Arial" w:hAnsi="Arial" w:cs="Arial"/>
        </w:rPr>
        <w:t xml:space="preserve"> .</w:t>
      </w:r>
    </w:p>
    <w:p w:rsidR="00E844FF" w:rsidRPr="00DA219B" w:rsidRDefault="00E844FF" w:rsidP="00E844FF">
      <w:pPr>
        <w:spacing w:line="36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E844FF" w:rsidRDefault="00E844FF" w:rsidP="003E5F2A">
      <w:pPr>
        <w:spacing w:after="0" w:line="240" w:lineRule="auto"/>
        <w:jc w:val="center"/>
        <w:rPr>
          <w:rFonts w:ascii="Arial" w:hAnsi="Arial" w:cs="Arial"/>
        </w:rPr>
      </w:pPr>
      <w:r>
        <w:rPr>
          <w:noProof/>
          <w:lang w:eastAsia="es-MX"/>
        </w:rPr>
        <w:drawing>
          <wp:inline distT="0" distB="0" distL="0" distR="0" wp14:anchorId="6F2B3F47" wp14:editId="69276C2B">
            <wp:extent cx="4572000" cy="2743200"/>
            <wp:effectExtent l="0" t="0" r="0" b="0"/>
            <wp:docPr id="74" name="Gráfico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844FF" w:rsidRPr="00B13AFE" w:rsidRDefault="00E844FF" w:rsidP="003E5F2A">
      <w:pPr>
        <w:spacing w:after="0" w:line="240" w:lineRule="auto"/>
        <w:ind w:left="708" w:firstLine="708"/>
        <w:jc w:val="both"/>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3E5F2A" w:rsidRDefault="003E5F2A" w:rsidP="00F75F85">
      <w:pPr>
        <w:spacing w:after="240" w:line="360" w:lineRule="auto"/>
        <w:jc w:val="both"/>
        <w:rPr>
          <w:rFonts w:ascii="Arial" w:hAnsi="Arial" w:cs="Arial"/>
        </w:rPr>
      </w:pPr>
    </w:p>
    <w:p w:rsidR="00E844FF" w:rsidRDefault="00E844FF" w:rsidP="00F75F85">
      <w:pPr>
        <w:spacing w:after="240" w:line="360" w:lineRule="auto"/>
        <w:jc w:val="both"/>
        <w:rPr>
          <w:rFonts w:ascii="Arial" w:hAnsi="Arial" w:cs="Arial"/>
          <w:b/>
        </w:rPr>
      </w:pPr>
      <w:r>
        <w:rPr>
          <w:rFonts w:ascii="Arial" w:hAnsi="Arial" w:cs="Arial"/>
        </w:rPr>
        <w:t xml:space="preserve">En cuanto a la posición de la ocupación de los médicos con estudios de posgrado (Gráfica </w:t>
      </w:r>
      <w:r w:rsidR="003E5F2A">
        <w:rPr>
          <w:rFonts w:ascii="Arial" w:hAnsi="Arial" w:cs="Arial"/>
        </w:rPr>
        <w:t>11</w:t>
      </w:r>
      <w:r>
        <w:rPr>
          <w:rFonts w:ascii="Arial" w:hAnsi="Arial" w:cs="Arial"/>
        </w:rPr>
        <w:t>), la mayoría se constituye como t</w:t>
      </w:r>
      <w:r w:rsidRPr="00DA4049">
        <w:rPr>
          <w:rFonts w:ascii="Arial" w:hAnsi="Arial" w:cs="Arial"/>
        </w:rPr>
        <w:t>rabajadores subordinados y remunerados</w:t>
      </w:r>
      <w:r>
        <w:rPr>
          <w:rFonts w:ascii="Arial" w:hAnsi="Arial" w:cs="Arial"/>
        </w:rPr>
        <w:t xml:space="preserve"> (69%), en </w:t>
      </w:r>
      <w:r>
        <w:rPr>
          <w:rFonts w:ascii="Arial" w:hAnsi="Arial" w:cs="Arial"/>
        </w:rPr>
        <w:lastRenderedPageBreak/>
        <w:t>menor proporción están aquellos que son empleadores (15.3%) y trabajadores por cuenta propia (15.2%)</w:t>
      </w:r>
      <w:r>
        <w:rPr>
          <w:rStyle w:val="Refdenotaalpie"/>
          <w:rFonts w:ascii="Arial" w:hAnsi="Arial" w:cs="Arial"/>
        </w:rPr>
        <w:footnoteReference w:id="105"/>
      </w:r>
      <w:r>
        <w:rPr>
          <w:rFonts w:ascii="Arial" w:hAnsi="Arial" w:cs="Arial"/>
        </w:rPr>
        <w:t xml:space="preserve">. </w:t>
      </w:r>
    </w:p>
    <w:p w:rsidR="00E844FF" w:rsidRPr="00DA219B" w:rsidRDefault="00E844FF" w:rsidP="00F75F85">
      <w:pPr>
        <w:spacing w:after="240" w:line="24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286DA4AF" wp14:editId="1153991B">
            <wp:extent cx="4773954" cy="2855396"/>
            <wp:effectExtent l="0" t="0" r="7620" b="2540"/>
            <wp:docPr id="75" name="Gráfico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E844FF" w:rsidRPr="00B13AFE" w:rsidRDefault="00E844FF" w:rsidP="00F32152">
      <w:pPr>
        <w:spacing w:after="0" w:line="240" w:lineRule="auto"/>
        <w:ind w:left="708" w:firstLine="708"/>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D478F0" w:rsidRPr="00D478F0" w:rsidRDefault="00D478F0" w:rsidP="003D3C6B">
      <w:pPr>
        <w:spacing w:after="240" w:line="360" w:lineRule="auto"/>
        <w:jc w:val="both"/>
        <w:rPr>
          <w:rFonts w:ascii="Arial" w:hAnsi="Arial" w:cs="Arial"/>
          <w:sz w:val="6"/>
        </w:rPr>
      </w:pPr>
    </w:p>
    <w:p w:rsidR="00E844FF" w:rsidRDefault="00E844FF" w:rsidP="003D3C6B">
      <w:pPr>
        <w:spacing w:after="240" w:line="360" w:lineRule="auto"/>
        <w:jc w:val="both"/>
        <w:rPr>
          <w:rFonts w:ascii="Arial" w:hAnsi="Arial" w:cs="Arial"/>
        </w:rPr>
      </w:pPr>
      <w:r>
        <w:rPr>
          <w:rFonts w:ascii="Arial" w:hAnsi="Arial" w:cs="Arial"/>
        </w:rPr>
        <w:t xml:space="preserve">Respecto a las percepciones económicas (Gráfica </w:t>
      </w:r>
      <w:r w:rsidR="00F32152">
        <w:rPr>
          <w:rFonts w:ascii="Arial" w:hAnsi="Arial" w:cs="Arial"/>
        </w:rPr>
        <w:t>12</w:t>
      </w:r>
      <w:r>
        <w:rPr>
          <w:rFonts w:ascii="Arial" w:hAnsi="Arial" w:cs="Arial"/>
        </w:rPr>
        <w:t>),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6"/>
      </w:r>
      <w:r>
        <w:rPr>
          <w:rFonts w:ascii="Arial" w:hAnsi="Arial" w:cs="Arial"/>
        </w:rPr>
        <w:t xml:space="preserve">. </w:t>
      </w:r>
    </w:p>
    <w:p w:rsidR="00E07C91" w:rsidRDefault="00E07C91">
      <w:pPr>
        <w:rPr>
          <w:rFonts w:ascii="Arial" w:hAnsi="Arial" w:cs="Arial"/>
        </w:rPr>
      </w:pPr>
      <w:r>
        <w:rPr>
          <w:rFonts w:ascii="Arial" w:hAnsi="Arial" w:cs="Arial"/>
        </w:rPr>
        <w:br w:type="page"/>
      </w:r>
    </w:p>
    <w:p w:rsidR="00E844FF" w:rsidRPr="00DA219B" w:rsidRDefault="00E844FF" w:rsidP="00E844FF">
      <w:pPr>
        <w:spacing w:line="240" w:lineRule="auto"/>
        <w:jc w:val="center"/>
        <w:rPr>
          <w:rFonts w:ascii="Arial" w:hAnsi="Arial" w:cs="Arial"/>
          <w:b/>
        </w:rPr>
      </w:pPr>
      <w:r w:rsidRPr="00DA219B">
        <w:rPr>
          <w:rFonts w:ascii="Arial" w:hAnsi="Arial" w:cs="Arial"/>
          <w:b/>
        </w:rPr>
        <w:lastRenderedPageBreak/>
        <w:t>Gráfica</w:t>
      </w:r>
      <w:r>
        <w:rPr>
          <w:rFonts w:ascii="Arial" w:hAnsi="Arial" w:cs="Arial"/>
          <w:b/>
        </w:rPr>
        <w:t xml:space="preserve"> </w:t>
      </w:r>
      <w:r w:rsidR="00F32152">
        <w:rPr>
          <w:rFonts w:ascii="Arial" w:hAnsi="Arial" w:cs="Arial"/>
          <w:b/>
        </w:rPr>
        <w:t>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4F2557E1" wp14:editId="66A93FFB">
            <wp:extent cx="4818832" cy="2249536"/>
            <wp:effectExtent l="0" t="0" r="1270" b="17780"/>
            <wp:docPr id="76" name="Gráfico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E844FF" w:rsidRPr="009F3F6B" w:rsidRDefault="00F32152" w:rsidP="00F32152">
      <w:pPr>
        <w:spacing w:after="0" w:line="240" w:lineRule="auto"/>
        <w:ind w:left="708" w:firstLine="708"/>
        <w:rPr>
          <w:rFonts w:ascii="Arial" w:hAnsi="Arial" w:cs="Arial"/>
          <w:sz w:val="20"/>
        </w:rPr>
      </w:pPr>
      <w:r>
        <w:rPr>
          <w:rFonts w:ascii="Arial" w:hAnsi="Arial" w:cs="Arial"/>
          <w:b/>
          <w:sz w:val="20"/>
        </w:rPr>
        <w:t xml:space="preserve">        </w:t>
      </w:r>
      <w:r w:rsidR="00E844FF" w:rsidRPr="00B13AFE">
        <w:rPr>
          <w:rFonts w:ascii="Arial" w:hAnsi="Arial" w:cs="Arial"/>
          <w:b/>
          <w:sz w:val="20"/>
        </w:rPr>
        <w:t>Fuente:</w:t>
      </w:r>
      <w:r w:rsidR="00E844FF">
        <w:rPr>
          <w:rFonts w:ascii="Arial" w:hAnsi="Arial" w:cs="Arial"/>
          <w:sz w:val="20"/>
        </w:rPr>
        <w:t xml:space="preserve"> Elaboración propia con base en INEGI (2019a).</w:t>
      </w:r>
    </w:p>
    <w:p w:rsidR="005D7A81" w:rsidRDefault="005D7A81" w:rsidP="00F75F85">
      <w:pPr>
        <w:spacing w:after="240" w:line="360" w:lineRule="auto"/>
        <w:jc w:val="both"/>
        <w:rPr>
          <w:rFonts w:ascii="Arial" w:hAnsi="Arial" w:cs="Arial"/>
          <w:b/>
        </w:rPr>
      </w:pPr>
    </w:p>
    <w:p w:rsidR="004A55AA" w:rsidRPr="00F17473" w:rsidRDefault="004A55AA" w:rsidP="00F75F85">
      <w:pPr>
        <w:spacing w:after="240" w:line="360" w:lineRule="auto"/>
        <w:jc w:val="both"/>
        <w:rPr>
          <w:rFonts w:ascii="Arial" w:hAnsi="Arial" w:cs="Arial"/>
          <w:b/>
        </w:rPr>
      </w:pPr>
      <w:r>
        <w:rPr>
          <w:rFonts w:ascii="Arial" w:hAnsi="Arial" w:cs="Arial"/>
          <w:b/>
        </w:rPr>
        <w:t xml:space="preserve">VI. </w:t>
      </w:r>
      <w:r w:rsidRPr="00F17473">
        <w:rPr>
          <w:rFonts w:ascii="Arial" w:hAnsi="Arial" w:cs="Arial"/>
          <w:b/>
        </w:rPr>
        <w:t xml:space="preserve">OFERTA EDUCATIVA </w:t>
      </w:r>
    </w:p>
    <w:p w:rsidR="004A55AA" w:rsidRPr="00642DED" w:rsidRDefault="004A55AA" w:rsidP="00F75F85">
      <w:pPr>
        <w:spacing w:after="240"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107"/>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4A55AA" w:rsidRPr="00642DED" w:rsidRDefault="004A55AA" w:rsidP="00F75F85">
      <w:pPr>
        <w:spacing w:after="240"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893C69">
        <w:rPr>
          <w:rFonts w:ascii="Arial" w:hAnsi="Arial" w:cs="Arial"/>
        </w:rPr>
        <w:t>Cirugía General</w:t>
      </w:r>
      <w:r w:rsidRPr="00642DED">
        <w:rPr>
          <w:rFonts w:ascii="Arial" w:hAnsi="Arial" w:cs="Arial"/>
        </w:rPr>
        <w:t xml:space="preserve">, primero se abordarán algunos aspectos generales de las especialidades médicas que servirán de referentes.  </w:t>
      </w:r>
    </w:p>
    <w:p w:rsidR="004A55AA" w:rsidRDefault="004A55AA" w:rsidP="00F75F85">
      <w:pPr>
        <w:spacing w:after="240"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 xml:space="preserve">se estudiaron tanto la oferta </w:t>
      </w:r>
      <w:r w:rsidRPr="00642DED">
        <w:rPr>
          <w:rFonts w:ascii="Arial" w:hAnsi="Arial" w:cs="Arial"/>
        </w:rPr>
        <w:lastRenderedPageBreak/>
        <w:t>como la demanda en un periodo de siete años, de 2009 a 2016. Algunos de los datos se encuentran en la Tabla 1.</w:t>
      </w:r>
    </w:p>
    <w:p w:rsidR="004A55AA" w:rsidRPr="006A1B3A" w:rsidRDefault="004A55AA" w:rsidP="004A55AA">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4A55AA" w:rsidRPr="006A1B3A" w:rsidTr="00E93154">
        <w:trPr>
          <w:tblHeader/>
          <w:jc w:val="center"/>
        </w:trPr>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4A55AA" w:rsidRPr="006A1B3A" w:rsidTr="00E93154">
        <w:trPr>
          <w:jc w:val="center"/>
        </w:trPr>
        <w:tc>
          <w:tcPr>
            <w:tcW w:w="4414" w:type="dxa"/>
          </w:tcPr>
          <w:p w:rsidR="004A55AA" w:rsidRPr="00642DED" w:rsidRDefault="004A55AA" w:rsidP="00E93154">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4A55AA" w:rsidRPr="00642DED" w:rsidRDefault="004A55AA" w:rsidP="00E93154">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4A55AA" w:rsidRPr="00642DED" w:rsidRDefault="004A55AA" w:rsidP="00E93154">
            <w:pPr>
              <w:jc w:val="both"/>
              <w:rPr>
                <w:rFonts w:ascii="Arial" w:hAnsi="Arial" w:cs="Arial"/>
                <w:sz w:val="20"/>
                <w:szCs w:val="20"/>
              </w:rPr>
            </w:pPr>
          </w:p>
        </w:tc>
      </w:tr>
      <w:tr w:rsidR="004A55AA" w:rsidRPr="006A1B3A" w:rsidTr="00E93154">
        <w:trPr>
          <w:jc w:val="center"/>
        </w:trPr>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t>Las 10 especialidades más demandadas fueron:</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Anestesiología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Traumatología y Ortopedia</w:t>
            </w:r>
          </w:p>
          <w:p w:rsidR="004A55AA" w:rsidRPr="00642DED" w:rsidRDefault="004A55AA" w:rsidP="004A55AA">
            <w:pPr>
              <w:pStyle w:val="Prrafodelista"/>
              <w:numPr>
                <w:ilvl w:val="0"/>
                <w:numId w:val="9"/>
              </w:numPr>
              <w:jc w:val="both"/>
              <w:rPr>
                <w:rFonts w:ascii="Arial" w:hAnsi="Arial" w:cs="Arial"/>
                <w:sz w:val="20"/>
                <w:szCs w:val="20"/>
              </w:rPr>
            </w:pPr>
            <w:proofErr w:type="spellStart"/>
            <w:r w:rsidRPr="00642DED">
              <w:rPr>
                <w:rFonts w:ascii="Arial" w:hAnsi="Arial" w:cs="Arial"/>
                <w:sz w:val="20"/>
                <w:szCs w:val="20"/>
              </w:rPr>
              <w:t>Imagenología</w:t>
            </w:r>
            <w:proofErr w:type="spellEnd"/>
            <w:r w:rsidRPr="00642DED">
              <w:rPr>
                <w:rFonts w:ascii="Arial" w:hAnsi="Arial" w:cs="Arial"/>
                <w:sz w:val="20"/>
                <w:szCs w:val="20"/>
              </w:rPr>
              <w:t xml:space="preserve"> diagnóstica y terapéutica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de Urgencias</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t>Las 10 especialidades con mayor oferta fueron:</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Anestesiología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de Urgencias</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Traumatología y Ortopedia</w:t>
            </w:r>
          </w:p>
          <w:p w:rsidR="004A55AA" w:rsidRPr="00642DED" w:rsidRDefault="004A55AA" w:rsidP="004A55AA">
            <w:pPr>
              <w:pStyle w:val="Prrafodelista"/>
              <w:numPr>
                <w:ilvl w:val="0"/>
                <w:numId w:val="8"/>
              </w:numPr>
              <w:jc w:val="both"/>
              <w:rPr>
                <w:rFonts w:ascii="Arial" w:hAnsi="Arial" w:cs="Arial"/>
                <w:sz w:val="20"/>
                <w:szCs w:val="20"/>
              </w:rPr>
            </w:pPr>
            <w:proofErr w:type="spellStart"/>
            <w:r w:rsidRPr="00642DED">
              <w:rPr>
                <w:rFonts w:ascii="Arial" w:hAnsi="Arial" w:cs="Arial"/>
                <w:sz w:val="20"/>
                <w:szCs w:val="20"/>
              </w:rPr>
              <w:t>Imagenología</w:t>
            </w:r>
            <w:proofErr w:type="spellEnd"/>
            <w:r w:rsidRPr="00642DED">
              <w:rPr>
                <w:rFonts w:ascii="Arial" w:hAnsi="Arial" w:cs="Arial"/>
                <w:sz w:val="20"/>
                <w:szCs w:val="20"/>
              </w:rPr>
              <w:t xml:space="preserve"> diagnóstica y terapéutica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r>
      <w:tr w:rsidR="004A55AA" w:rsidRPr="006A1B3A" w:rsidTr="00E93154">
        <w:trPr>
          <w:jc w:val="center"/>
        </w:trPr>
        <w:tc>
          <w:tcPr>
            <w:tcW w:w="8828" w:type="dxa"/>
            <w:gridSpan w:val="2"/>
          </w:tcPr>
          <w:p w:rsidR="004A55AA" w:rsidRPr="00642DED" w:rsidRDefault="004A55AA" w:rsidP="00E93154">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4A55AA" w:rsidRPr="00642DED" w:rsidRDefault="004A55AA" w:rsidP="004A55AA">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Brechas en la Disponibilidad de Médicos y Enfermeras Especialistas en el Sistema Nacional de Salud (2017).</w:t>
      </w:r>
    </w:p>
    <w:p w:rsidR="004A55AA" w:rsidRDefault="005D7A81" w:rsidP="004A55AA">
      <w:pPr>
        <w:spacing w:line="360" w:lineRule="auto"/>
        <w:jc w:val="both"/>
        <w:rPr>
          <w:rFonts w:ascii="Arial" w:hAnsi="Arial" w:cs="Arial"/>
        </w:rPr>
      </w:pPr>
      <w:r>
        <w:rPr>
          <w:rFonts w:ascii="Arial" w:hAnsi="Arial" w:cs="Arial"/>
        </w:rPr>
        <w:t>Como puede observase la especialidad más demandada es la de Cirugía General y el lugar que ocupa en oferta es el 6°</w:t>
      </w:r>
      <w:r w:rsidR="001D3782">
        <w:rPr>
          <w:rFonts w:ascii="Arial" w:hAnsi="Arial" w:cs="Arial"/>
        </w:rPr>
        <w:t>, lo que la hace una especialidad de mayor presencia en la atención a la salud y por significar la base para la derivación hacia otras especialidades.</w:t>
      </w:r>
      <w:r>
        <w:rPr>
          <w:rFonts w:ascii="Arial" w:hAnsi="Arial" w:cs="Arial"/>
        </w:rPr>
        <w:t xml:space="preserve"> </w:t>
      </w:r>
      <w:r w:rsidR="004A55AA" w:rsidRPr="00642DED">
        <w:rPr>
          <w:rFonts w:ascii="Arial" w:hAnsi="Arial" w:cs="Arial"/>
        </w:rPr>
        <w:t xml:space="preserve">Según el documento de la Academia Nacional de Medicina sobre </w:t>
      </w:r>
      <w:r w:rsidR="004A55AA" w:rsidRPr="00642DED">
        <w:rPr>
          <w:rFonts w:ascii="Arial" w:hAnsi="Arial" w:cs="Arial"/>
          <w:i/>
        </w:rPr>
        <w:t xml:space="preserve">La Formación de </w:t>
      </w:r>
      <w:r w:rsidR="004A55AA">
        <w:rPr>
          <w:rFonts w:ascii="Arial" w:hAnsi="Arial" w:cs="Arial"/>
          <w:i/>
        </w:rPr>
        <w:t>Médicos Especialistas en México</w:t>
      </w:r>
      <w:r w:rsidR="004A55AA">
        <w:rPr>
          <w:rStyle w:val="Refdenotaalpie"/>
          <w:rFonts w:ascii="Arial" w:hAnsi="Arial" w:cs="Arial"/>
          <w:i/>
        </w:rPr>
        <w:footnoteReference w:id="108"/>
      </w:r>
      <w:r w:rsidR="004A55AA"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004A55AA" w:rsidRPr="00642DED">
        <w:rPr>
          <w:rFonts w:ascii="Arial" w:hAnsi="Arial" w:cs="Arial"/>
          <w:i/>
        </w:rPr>
        <w:t xml:space="preserve">Brechas en la Disponibilidad de Médicos y Enfermeras Especialistas en el Sistema de Nacional de Salud </w:t>
      </w:r>
      <w:r w:rsidR="004A55AA" w:rsidRPr="00642DED">
        <w:rPr>
          <w:rFonts w:ascii="Arial" w:hAnsi="Arial" w:cs="Arial"/>
        </w:rPr>
        <w:t xml:space="preserve"> del Instituto Nacional de Salud Pública.</w:t>
      </w:r>
    </w:p>
    <w:p w:rsidR="00F66264" w:rsidRPr="001547A7" w:rsidRDefault="00F66264" w:rsidP="00F66264">
      <w:pPr>
        <w:spacing w:line="360" w:lineRule="auto"/>
        <w:jc w:val="both"/>
        <w:rPr>
          <w:rFonts w:ascii="Arial" w:hAnsi="Arial" w:cs="Arial"/>
        </w:rPr>
      </w:pPr>
      <w:r w:rsidRPr="001547A7">
        <w:rPr>
          <w:rFonts w:ascii="Arial" w:hAnsi="Arial" w:cs="Arial"/>
        </w:rPr>
        <w:t xml:space="preserve">A nivel nacional </w:t>
      </w:r>
      <w:r w:rsidR="001D3782">
        <w:rPr>
          <w:rFonts w:ascii="Arial" w:hAnsi="Arial" w:cs="Arial"/>
        </w:rPr>
        <w:t>esta especialidad</w:t>
      </w:r>
      <w:r w:rsidRPr="001547A7">
        <w:rPr>
          <w:rFonts w:ascii="Arial" w:hAnsi="Arial" w:cs="Arial"/>
        </w:rPr>
        <w:t xml:space="preserve"> se oferta en las siguientes IES privadas: Instituto Tecnológico y de Estudios Superiores de Monterrey, Nuevo León; Universidad Autónoma de Guadalajara, Jalisco; Universidad de Monterrey, Nuevo León; y Universidad La Salle, A.C., Ciudad de México. </w:t>
      </w:r>
    </w:p>
    <w:p w:rsidR="00F66264" w:rsidRPr="001547A7" w:rsidRDefault="00777300" w:rsidP="00F66264">
      <w:pPr>
        <w:pStyle w:val="Sinespaciado"/>
        <w:spacing w:line="360" w:lineRule="auto"/>
        <w:jc w:val="both"/>
        <w:rPr>
          <w:rFonts w:ascii="Arial" w:hAnsi="Arial" w:cs="Arial"/>
        </w:rPr>
      </w:pPr>
      <w:r>
        <w:rPr>
          <w:rFonts w:ascii="Arial" w:hAnsi="Arial" w:cs="Arial"/>
        </w:rPr>
        <w:lastRenderedPageBreak/>
        <w:t>S</w:t>
      </w:r>
      <w:r w:rsidR="00F66264" w:rsidRPr="001547A7">
        <w:rPr>
          <w:rFonts w:ascii="Arial" w:hAnsi="Arial" w:cs="Arial"/>
        </w:rPr>
        <w:t>e hizo una búsqueda cualitativa a través de la web para obtener datos de las dos IES privadas que ofertan la Especialidad en Cirugía General</w:t>
      </w:r>
      <w:r>
        <w:rPr>
          <w:rFonts w:ascii="Arial" w:hAnsi="Arial" w:cs="Arial"/>
        </w:rPr>
        <w:t xml:space="preserve"> y que presentan comportamientos semejantes en materia de formación de especialista</w:t>
      </w:r>
      <w:r w:rsidR="00F66264" w:rsidRPr="001547A7">
        <w:rPr>
          <w:rFonts w:ascii="Arial" w:hAnsi="Arial" w:cs="Arial"/>
        </w:rPr>
        <w:t xml:space="preserve"> al igual que la ULSA, con el fin de analizar los contenidos que ofrecen. En cuanto a los datos generales, se identificó </w:t>
      </w:r>
      <w:r>
        <w:rPr>
          <w:rFonts w:ascii="Arial" w:hAnsi="Arial" w:cs="Arial"/>
        </w:rPr>
        <w:t>que tienen una</w:t>
      </w:r>
      <w:r w:rsidR="00F66264" w:rsidRPr="001547A7">
        <w:rPr>
          <w:rFonts w:ascii="Arial" w:hAnsi="Arial" w:cs="Arial"/>
        </w:rPr>
        <w:t xml:space="preserve"> duración de 4 a 5 años, los créditos oscilan entre los 360, se cursan de manera semestral o anual y su modalidad es escolar. </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spacing w:line="360" w:lineRule="auto"/>
        <w:jc w:val="both"/>
        <w:rPr>
          <w:rFonts w:ascii="Arial" w:hAnsi="Arial" w:cs="Arial"/>
        </w:rPr>
      </w:pPr>
      <w:r w:rsidRPr="001547A7">
        <w:rPr>
          <w:rFonts w:ascii="Arial" w:hAnsi="Arial" w:cs="Arial"/>
        </w:rPr>
        <w:t>El objetivo de las IES va orientado a formar Médicos Cirujanos, con conocimientos en la atención clínica de alta calidad y seguridad, para intervenir al paciente con patologías médicas y quirúrgicas, a través del diagnóstico clínico, paraclínico y tratamiento médico-quirúrgico adecuado, para recuperar el estado de salud e incrementar la calidad de vida. Así como para cubrir las necesidades de atención quirúrgica en la medicina institucional y/o privada, contando con las tecnologías pertinentes que permitan ofrecer los máximos estándares de atención, con sentido ético y humano en el ejercicio de su práctica clínica, docente y de investigación.</w:t>
      </w: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En cuanto al perfil de ingreso de las IES, está dirigido a profesionistas que cuenten con la Licenciatura en Medicina, que hayan aprobado el Examen Nacional de Residencias Médicas (ENARM), así como contar con título y cédula. También que cuenten con:</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 xml:space="preserve">Conocimientos </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En la metodología científica y el método epidemiológico.</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Habilidades:</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Procedimientos diagnósticos y terapéuticos en medicina general.</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 xml:space="preserve">Destrezas técnicas quirúrgicas básicas de la medicina. </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Trabajo en equipo.</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 xml:space="preserve">Recuperación sistematizada de información médica. </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Actitudes:</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 xml:space="preserve">Calidez y disponibilidad de atención a los pacientes. </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 xml:space="preserve">Capacidad de adaptación a la disciplina hospitalaria. </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 xml:space="preserve">Orden y puntualidad. </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 xml:space="preserve">Honestidad. </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lastRenderedPageBreak/>
        <w:t xml:space="preserve">Respeto. </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Responsabilidad.</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Liderazgo.</w:t>
      </w:r>
    </w:p>
    <w:p w:rsidR="00F66264" w:rsidRPr="001547A7" w:rsidRDefault="00F66264" w:rsidP="00F66264">
      <w:pPr>
        <w:pStyle w:val="Sinespaciado"/>
        <w:numPr>
          <w:ilvl w:val="0"/>
          <w:numId w:val="11"/>
        </w:numPr>
        <w:spacing w:line="360" w:lineRule="auto"/>
        <w:rPr>
          <w:rFonts w:ascii="Arial" w:hAnsi="Arial" w:cs="Arial"/>
        </w:rPr>
      </w:pPr>
      <w:r w:rsidRPr="001547A7">
        <w:rPr>
          <w:rFonts w:ascii="Arial" w:hAnsi="Arial" w:cs="Arial"/>
        </w:rPr>
        <w:t xml:space="preserve">Hábito de estudio. </w:t>
      </w:r>
    </w:p>
    <w:p w:rsidR="00F66264" w:rsidRPr="001547A7" w:rsidRDefault="00F66264" w:rsidP="00F66264">
      <w:pPr>
        <w:pStyle w:val="Sinespaciado"/>
        <w:numPr>
          <w:ilvl w:val="0"/>
          <w:numId w:val="11"/>
        </w:numPr>
        <w:spacing w:line="360" w:lineRule="auto"/>
        <w:jc w:val="both"/>
        <w:rPr>
          <w:rFonts w:ascii="Arial" w:hAnsi="Arial" w:cs="Arial"/>
        </w:rPr>
      </w:pPr>
      <w:r w:rsidRPr="001547A7">
        <w:rPr>
          <w:rFonts w:ascii="Arial" w:hAnsi="Arial" w:cs="Arial"/>
        </w:rPr>
        <w:t>Disponibilidad de tiempo completo.</w:t>
      </w:r>
    </w:p>
    <w:p w:rsidR="00F66264" w:rsidRPr="001547A7" w:rsidRDefault="00F66264" w:rsidP="00F66264">
      <w:pPr>
        <w:pStyle w:val="Sinespaciado"/>
        <w:spacing w:line="360" w:lineRule="auto"/>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 xml:space="preserve">Respecto al perfil de egreso, formarán especialistas competentes que evalúen a los pacientes desde el inicio del cuadro clínico, hasta el alta del mismo. Que cuenten con los conocimientos y habilidades necesarios para el manejo de las patologías, complicaciones en el tracto gastrointestinal, abdomen, glándula mamaria, tejidos blandos, cabeza y cuello, sistema endócrino; oncología, pacientes </w:t>
      </w:r>
      <w:proofErr w:type="spellStart"/>
      <w:r w:rsidRPr="001547A7">
        <w:rPr>
          <w:rFonts w:ascii="Arial" w:hAnsi="Arial" w:cs="Arial"/>
        </w:rPr>
        <w:t>politraumatizados</w:t>
      </w:r>
      <w:proofErr w:type="spellEnd"/>
      <w:r w:rsidRPr="001547A7">
        <w:rPr>
          <w:rFonts w:ascii="Arial" w:hAnsi="Arial" w:cs="Arial"/>
        </w:rPr>
        <w:t>, severamente enfermos en urgencias y/o cuidados intensivos, así como problemas cardiovasculares, urológicos, neurológicos, ginecológicos y ortopédicos.</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Los especialistas también se encargarán del cuidado integral y continuo de los pacientes quirúrgicos, preoperatorios, operatorios y postoperatorios, aplicando las técnicas adecuadas endoscópicas, laparoscópicas, de cirugía mínimamente invasiva, diagnósticas y terapéuticas. Desarrollarán método científico para la aplicación de proyectos de investigación que impacten para la mejor atención a la salud, establecerán comunicación efectiva con el paciente y sus familiares, y se desempeñarán con sentido de ética profesional, honestidad, respeto y sensibilidad.</w:t>
      </w:r>
    </w:p>
    <w:p w:rsidR="00F66264" w:rsidRPr="001547A7" w:rsidRDefault="00F66264" w:rsidP="00F66264">
      <w:pPr>
        <w:pStyle w:val="Sinespaciado"/>
        <w:spacing w:line="360" w:lineRule="auto"/>
        <w:jc w:val="both"/>
        <w:rPr>
          <w:rFonts w:ascii="Arial" w:hAnsi="Arial" w:cs="Arial"/>
        </w:rPr>
      </w:pPr>
    </w:p>
    <w:p w:rsidR="00F66264" w:rsidRPr="001547A7" w:rsidRDefault="00F66264" w:rsidP="00F66264">
      <w:pPr>
        <w:pStyle w:val="Sinespaciado"/>
        <w:spacing w:line="360" w:lineRule="auto"/>
        <w:jc w:val="both"/>
        <w:rPr>
          <w:rFonts w:ascii="Arial" w:hAnsi="Arial" w:cs="Arial"/>
        </w:rPr>
      </w:pPr>
      <w:r w:rsidRPr="001547A7">
        <w:rPr>
          <w:rFonts w:ascii="Arial" w:hAnsi="Arial" w:cs="Arial"/>
        </w:rPr>
        <w:t>Por ot</w:t>
      </w:r>
      <w:r>
        <w:rPr>
          <w:rFonts w:ascii="Arial" w:hAnsi="Arial" w:cs="Arial"/>
        </w:rPr>
        <w:t xml:space="preserve">ro lado, en la siguiente Cuadro </w:t>
      </w:r>
      <w:r w:rsidR="006B0A8A">
        <w:rPr>
          <w:rFonts w:ascii="Arial" w:hAnsi="Arial" w:cs="Arial"/>
        </w:rPr>
        <w:t>13</w:t>
      </w:r>
      <w:r w:rsidRPr="001547A7">
        <w:rPr>
          <w:rFonts w:ascii="Arial" w:hAnsi="Arial" w:cs="Arial"/>
        </w:rPr>
        <w:t xml:space="preserve">, señala las áreas que ofrecen las dos IES distintas a la Universidad La Salle. </w:t>
      </w:r>
    </w:p>
    <w:p w:rsidR="00F66264" w:rsidRPr="001547A7" w:rsidRDefault="00F66264" w:rsidP="00F66264">
      <w:pPr>
        <w:pStyle w:val="Sinespaciado"/>
        <w:jc w:val="both"/>
        <w:rPr>
          <w:rFonts w:ascii="Arial" w:hAnsi="Arial" w:cs="Arial"/>
        </w:rPr>
      </w:pPr>
    </w:p>
    <w:p w:rsidR="00F66264" w:rsidRPr="001547A7" w:rsidRDefault="00F66264" w:rsidP="00F66264">
      <w:pPr>
        <w:spacing w:after="0" w:line="240" w:lineRule="auto"/>
        <w:jc w:val="center"/>
        <w:rPr>
          <w:rFonts w:ascii="Arial" w:hAnsi="Arial" w:cs="Arial"/>
          <w:b/>
        </w:rPr>
      </w:pPr>
      <w:r>
        <w:rPr>
          <w:rFonts w:ascii="Arial" w:hAnsi="Arial" w:cs="Arial"/>
          <w:b/>
        </w:rPr>
        <w:t xml:space="preserve">Cuadro </w:t>
      </w:r>
      <w:r w:rsidR="006B0A8A">
        <w:rPr>
          <w:rFonts w:ascii="Arial" w:hAnsi="Arial" w:cs="Arial"/>
          <w:b/>
        </w:rPr>
        <w:t>13</w:t>
      </w:r>
      <w:r w:rsidRPr="001547A7">
        <w:rPr>
          <w:rFonts w:ascii="Arial" w:hAnsi="Arial" w:cs="Arial"/>
          <w:b/>
        </w:rPr>
        <w:t>. Áreas y asignaturas de la Especialidad en Cirugía General.</w:t>
      </w:r>
    </w:p>
    <w:tbl>
      <w:tblPr>
        <w:tblStyle w:val="Tablaconcuadrcula"/>
        <w:tblW w:w="0" w:type="auto"/>
        <w:tblLook w:val="04A0" w:firstRow="1" w:lastRow="0" w:firstColumn="1" w:lastColumn="0" w:noHBand="0" w:noVBand="1"/>
      </w:tblPr>
      <w:tblGrid>
        <w:gridCol w:w="4414"/>
        <w:gridCol w:w="4414"/>
      </w:tblGrid>
      <w:tr w:rsidR="00F66264" w:rsidRPr="001547A7" w:rsidTr="00F66264">
        <w:trPr>
          <w:tblHeader/>
        </w:trPr>
        <w:tc>
          <w:tcPr>
            <w:tcW w:w="4414" w:type="dxa"/>
            <w:shd w:val="clear" w:color="auto" w:fill="2E74B5" w:themeFill="accent1" w:themeFillShade="BF"/>
          </w:tcPr>
          <w:p w:rsidR="00F66264" w:rsidRPr="001547A7" w:rsidRDefault="00F66264" w:rsidP="00F66264">
            <w:pPr>
              <w:jc w:val="center"/>
              <w:rPr>
                <w:rFonts w:ascii="Arial" w:hAnsi="Arial" w:cs="Arial"/>
                <w:b/>
                <w:color w:val="FFFFFF" w:themeColor="background1"/>
                <w:sz w:val="20"/>
              </w:rPr>
            </w:pPr>
            <w:r w:rsidRPr="001547A7">
              <w:rPr>
                <w:rFonts w:ascii="Arial" w:hAnsi="Arial" w:cs="Arial"/>
                <w:b/>
                <w:color w:val="FFFFFF" w:themeColor="background1"/>
                <w:sz w:val="20"/>
              </w:rPr>
              <w:t xml:space="preserve">ÁREA </w:t>
            </w:r>
          </w:p>
        </w:tc>
        <w:tc>
          <w:tcPr>
            <w:tcW w:w="4414" w:type="dxa"/>
            <w:shd w:val="clear" w:color="auto" w:fill="2E74B5" w:themeFill="accent1" w:themeFillShade="BF"/>
          </w:tcPr>
          <w:p w:rsidR="00F66264" w:rsidRPr="001547A7" w:rsidRDefault="00F66264" w:rsidP="00F66264">
            <w:pPr>
              <w:jc w:val="center"/>
              <w:rPr>
                <w:rFonts w:ascii="Arial" w:hAnsi="Arial" w:cs="Arial"/>
                <w:b/>
                <w:color w:val="FFFFFF" w:themeColor="background1"/>
                <w:sz w:val="20"/>
              </w:rPr>
            </w:pPr>
            <w:r w:rsidRPr="001547A7">
              <w:rPr>
                <w:rFonts w:ascii="Arial" w:hAnsi="Arial" w:cs="Arial"/>
                <w:b/>
                <w:color w:val="FFFFFF" w:themeColor="background1"/>
                <w:sz w:val="20"/>
              </w:rPr>
              <w:t xml:space="preserve">ASIGNATURA </w:t>
            </w:r>
          </w:p>
        </w:tc>
      </w:tr>
      <w:tr w:rsidR="00F66264" w:rsidRPr="001547A7" w:rsidTr="00F66264">
        <w:tc>
          <w:tcPr>
            <w:tcW w:w="4414" w:type="dxa"/>
            <w:vAlign w:val="center"/>
          </w:tcPr>
          <w:p w:rsidR="00F66264" w:rsidRPr="001547A7" w:rsidRDefault="00F66264" w:rsidP="00F66264">
            <w:pPr>
              <w:jc w:val="center"/>
              <w:rPr>
                <w:rFonts w:ascii="Arial" w:hAnsi="Arial" w:cs="Arial"/>
                <w:sz w:val="20"/>
              </w:rPr>
            </w:pPr>
            <w:r w:rsidRPr="001547A7">
              <w:rPr>
                <w:rFonts w:ascii="Arial" w:hAnsi="Arial" w:cs="Arial"/>
                <w:sz w:val="20"/>
              </w:rPr>
              <w:t xml:space="preserve">Clínica </w:t>
            </w:r>
          </w:p>
        </w:tc>
        <w:tc>
          <w:tcPr>
            <w:tcW w:w="4414" w:type="dxa"/>
          </w:tcPr>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Anatomía topográfica quirúrgica</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Anestesiología para cirugía general</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Bioética médica</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Calidad en la atención clínica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Cirugía general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Cuidados intensivos quirúrgicos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Ética clínica</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Formación clínica</w:t>
            </w:r>
          </w:p>
          <w:p w:rsidR="00F66264" w:rsidRPr="001547A7" w:rsidRDefault="00F66264" w:rsidP="00F66264">
            <w:pPr>
              <w:pStyle w:val="Prrafodelista"/>
              <w:numPr>
                <w:ilvl w:val="0"/>
                <w:numId w:val="10"/>
              </w:numPr>
              <w:ind w:left="433"/>
              <w:rPr>
                <w:rFonts w:ascii="Arial" w:eastAsia="Times New Roman" w:hAnsi="Arial" w:cs="Arial"/>
                <w:sz w:val="20"/>
                <w:lang w:eastAsia="es-MX"/>
              </w:rPr>
            </w:pPr>
            <w:proofErr w:type="spellStart"/>
            <w:r w:rsidRPr="001547A7">
              <w:rPr>
                <w:rFonts w:ascii="Arial" w:eastAsia="Times New Roman" w:hAnsi="Arial" w:cs="Arial"/>
                <w:sz w:val="20"/>
                <w:lang w:eastAsia="es-MX"/>
              </w:rPr>
              <w:t>Imagenología</w:t>
            </w:r>
            <w:proofErr w:type="spellEnd"/>
            <w:r w:rsidRPr="001547A7">
              <w:rPr>
                <w:rFonts w:ascii="Arial" w:eastAsia="Times New Roman" w:hAnsi="Arial" w:cs="Arial"/>
                <w:sz w:val="20"/>
                <w:lang w:eastAsia="es-MX"/>
              </w:rPr>
              <w:t xml:space="preserve">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Patología quirúrgica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Propedéutica quirúrgica </w:t>
            </w:r>
          </w:p>
          <w:p w:rsidR="00F66264" w:rsidRPr="001547A7" w:rsidRDefault="00F66264" w:rsidP="00FF7B92">
            <w:pPr>
              <w:pStyle w:val="Prrafodelista"/>
              <w:numPr>
                <w:ilvl w:val="0"/>
                <w:numId w:val="10"/>
              </w:numPr>
              <w:ind w:left="433"/>
              <w:rPr>
                <w:rFonts w:ascii="Arial" w:eastAsia="Times New Roman" w:hAnsi="Arial" w:cs="Arial"/>
                <w:sz w:val="20"/>
                <w:lang w:eastAsia="es-MX"/>
              </w:rPr>
            </w:pPr>
            <w:r w:rsidRPr="00FF7B92">
              <w:rPr>
                <w:rFonts w:ascii="Arial" w:eastAsia="Times New Roman" w:hAnsi="Arial" w:cs="Arial"/>
                <w:sz w:val="20"/>
                <w:lang w:eastAsia="es-MX"/>
              </w:rPr>
              <w:t>RCP básica y ATLS</w:t>
            </w:r>
          </w:p>
        </w:tc>
      </w:tr>
      <w:tr w:rsidR="00F66264" w:rsidRPr="001547A7" w:rsidTr="00F66264">
        <w:tc>
          <w:tcPr>
            <w:tcW w:w="4414" w:type="dxa"/>
            <w:vAlign w:val="center"/>
          </w:tcPr>
          <w:p w:rsidR="00F66264" w:rsidRPr="001547A7" w:rsidRDefault="00F66264" w:rsidP="00F66264">
            <w:pPr>
              <w:jc w:val="center"/>
              <w:rPr>
                <w:rFonts w:ascii="Arial" w:hAnsi="Arial" w:cs="Arial"/>
                <w:sz w:val="20"/>
              </w:rPr>
            </w:pPr>
            <w:r w:rsidRPr="001547A7">
              <w:rPr>
                <w:rFonts w:ascii="Arial" w:hAnsi="Arial" w:cs="Arial"/>
                <w:sz w:val="20"/>
              </w:rPr>
              <w:lastRenderedPageBreak/>
              <w:t xml:space="preserve">Social </w:t>
            </w:r>
          </w:p>
        </w:tc>
        <w:tc>
          <w:tcPr>
            <w:tcW w:w="4414" w:type="dxa"/>
          </w:tcPr>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Educación en ciencias de la salud</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Educación médica y de la salud</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Seminario de atención médica</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Trabajo de atención médica</w:t>
            </w:r>
          </w:p>
        </w:tc>
      </w:tr>
      <w:tr w:rsidR="00F66264" w:rsidRPr="001547A7" w:rsidTr="00F66264">
        <w:tc>
          <w:tcPr>
            <w:tcW w:w="4414" w:type="dxa"/>
            <w:vAlign w:val="center"/>
          </w:tcPr>
          <w:p w:rsidR="00F66264" w:rsidRPr="001547A7" w:rsidRDefault="00F66264" w:rsidP="00F66264">
            <w:pPr>
              <w:jc w:val="center"/>
              <w:rPr>
                <w:rFonts w:ascii="Arial" w:hAnsi="Arial" w:cs="Arial"/>
                <w:sz w:val="20"/>
              </w:rPr>
            </w:pPr>
            <w:r w:rsidRPr="001547A7">
              <w:rPr>
                <w:rFonts w:ascii="Arial" w:hAnsi="Arial" w:cs="Arial"/>
                <w:sz w:val="20"/>
              </w:rPr>
              <w:t xml:space="preserve">Investigación </w:t>
            </w:r>
          </w:p>
        </w:tc>
        <w:tc>
          <w:tcPr>
            <w:tcW w:w="4414" w:type="dxa"/>
          </w:tcPr>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Investigación </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Métodos de investigación e innovación</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Seminario de educación</w:t>
            </w:r>
          </w:p>
          <w:p w:rsidR="00F66264" w:rsidRPr="001547A7" w:rsidRDefault="00F66264" w:rsidP="00F66264">
            <w:pPr>
              <w:pStyle w:val="Prrafodelista"/>
              <w:numPr>
                <w:ilvl w:val="0"/>
                <w:numId w:val="10"/>
              </w:numPr>
              <w:ind w:left="433"/>
              <w:rPr>
                <w:rFonts w:ascii="Arial" w:eastAsia="Times New Roman" w:hAnsi="Arial" w:cs="Arial"/>
                <w:sz w:val="20"/>
                <w:lang w:eastAsia="es-MX"/>
              </w:rPr>
            </w:pPr>
            <w:r w:rsidRPr="001547A7">
              <w:rPr>
                <w:rFonts w:ascii="Arial" w:eastAsia="Times New Roman" w:hAnsi="Arial" w:cs="Arial"/>
                <w:sz w:val="20"/>
                <w:lang w:eastAsia="es-MX"/>
              </w:rPr>
              <w:t xml:space="preserve">Seminario de investigación </w:t>
            </w:r>
          </w:p>
        </w:tc>
      </w:tr>
    </w:tbl>
    <w:p w:rsidR="00F66264" w:rsidRPr="001547A7" w:rsidRDefault="00F66264" w:rsidP="00F66264">
      <w:pPr>
        <w:pStyle w:val="Sinespaciado"/>
        <w:jc w:val="center"/>
        <w:rPr>
          <w:rFonts w:ascii="Arial" w:hAnsi="Arial" w:cs="Arial"/>
          <w:sz w:val="18"/>
        </w:rPr>
      </w:pPr>
      <w:r w:rsidRPr="001547A7">
        <w:rPr>
          <w:rFonts w:ascii="Arial" w:hAnsi="Arial" w:cs="Arial"/>
          <w:sz w:val="18"/>
        </w:rPr>
        <w:t>Fuente: Elaboración propia con base en datos de la Web</w:t>
      </w:r>
    </w:p>
    <w:p w:rsidR="00F66264" w:rsidRPr="001547A7" w:rsidRDefault="00F66264" w:rsidP="00F66264">
      <w:pPr>
        <w:pStyle w:val="Sinespaciado"/>
        <w:rPr>
          <w:rFonts w:ascii="Arial" w:hAnsi="Arial" w:cs="Arial"/>
        </w:rPr>
      </w:pPr>
    </w:p>
    <w:p w:rsidR="00777300" w:rsidRPr="00FF7B92" w:rsidRDefault="00FF7B92" w:rsidP="00FF7B92">
      <w:pPr>
        <w:pStyle w:val="Sinespaciado"/>
        <w:spacing w:line="360" w:lineRule="auto"/>
        <w:jc w:val="both"/>
        <w:rPr>
          <w:rFonts w:ascii="Arial" w:hAnsi="Arial" w:cs="Arial"/>
        </w:rPr>
      </w:pPr>
      <w:r w:rsidRPr="00FF7B92">
        <w:rPr>
          <w:rFonts w:ascii="Arial" w:hAnsi="Arial" w:cs="Arial"/>
        </w:rPr>
        <w:t>En particular la especialidad en la Universidad La Salle s</w:t>
      </w:r>
      <w:r w:rsidR="00777300" w:rsidRPr="00FF7B92">
        <w:rPr>
          <w:rFonts w:ascii="Arial" w:hAnsi="Arial" w:cs="Arial"/>
        </w:rPr>
        <w:t xml:space="preserve">e imparte en: Hospital Ángeles del Pedregal, Hospital Ángeles </w:t>
      </w:r>
      <w:proofErr w:type="spellStart"/>
      <w:r w:rsidR="00777300" w:rsidRPr="00FF7B92">
        <w:rPr>
          <w:rFonts w:ascii="Arial" w:hAnsi="Arial" w:cs="Arial"/>
        </w:rPr>
        <w:t>Mocel</w:t>
      </w:r>
      <w:proofErr w:type="spellEnd"/>
      <w:r w:rsidR="00777300" w:rsidRPr="00FF7B92">
        <w:rPr>
          <w:rFonts w:ascii="Arial" w:hAnsi="Arial" w:cs="Arial"/>
        </w:rPr>
        <w:t xml:space="preserve">, Nuevo Sanatorio en Durango, Hospital Ángeles Metropolitano y Médica Sur. Respecto a los datos de Ingreso de las 5 Instituciones, los resultados indican que el Hospital Ángeles del Pedregal reportó 5 estudiantes de especialidad en el último año; Médica Sur y el Nuevo Sanatorio en Durango reportaron 3 en el 2018; y los Hospitales Ángeles Metropolitano y Ángeles </w:t>
      </w:r>
      <w:proofErr w:type="spellStart"/>
      <w:r w:rsidR="00777300" w:rsidRPr="00FF7B92">
        <w:rPr>
          <w:rFonts w:ascii="Arial" w:hAnsi="Arial" w:cs="Arial"/>
        </w:rPr>
        <w:t>Mocel</w:t>
      </w:r>
      <w:proofErr w:type="spellEnd"/>
      <w:r w:rsidR="00777300" w:rsidRPr="00FF7B92">
        <w:rPr>
          <w:rFonts w:ascii="Arial" w:hAnsi="Arial" w:cs="Arial"/>
        </w:rPr>
        <w:t xml:space="preserve"> indicaron una constante de 2 durante los años 217 a 2018. </w:t>
      </w:r>
    </w:p>
    <w:p w:rsidR="00777300" w:rsidRPr="00FF7B92" w:rsidRDefault="00777300" w:rsidP="00FF7B92">
      <w:pPr>
        <w:pStyle w:val="Sinespaciado"/>
        <w:spacing w:line="360" w:lineRule="auto"/>
        <w:jc w:val="both"/>
        <w:rPr>
          <w:rFonts w:ascii="Arial" w:hAnsi="Arial" w:cs="Arial"/>
        </w:rPr>
      </w:pPr>
    </w:p>
    <w:p w:rsidR="00777300" w:rsidRPr="00FF7B92" w:rsidRDefault="00777300" w:rsidP="00FF7B92">
      <w:pPr>
        <w:pStyle w:val="Sinespaciado"/>
        <w:spacing w:line="360" w:lineRule="auto"/>
        <w:jc w:val="both"/>
        <w:rPr>
          <w:rFonts w:ascii="Arial" w:hAnsi="Arial" w:cs="Arial"/>
        </w:rPr>
      </w:pPr>
      <w:r w:rsidRPr="00FF7B92">
        <w:rPr>
          <w:rFonts w:ascii="Arial" w:hAnsi="Arial" w:cs="Arial"/>
        </w:rPr>
        <w:t xml:space="preserve">En cuanto a los datos de Matrícula, el hospital que cuenta con más residentes (3) es el Hospital Ángeles del Pedregal; seguido del Nuevo Sanatorio en Durango, cuyos datos reportan 2 en los últimos dos años; los Hospitales Ángeles Metropolitano y Médica Sur con 1 en el último año; y por último el Hospital Ángeles </w:t>
      </w:r>
      <w:proofErr w:type="spellStart"/>
      <w:r w:rsidRPr="00FF7B92">
        <w:rPr>
          <w:rFonts w:ascii="Arial" w:hAnsi="Arial" w:cs="Arial"/>
        </w:rPr>
        <w:t>Mocel</w:t>
      </w:r>
      <w:proofErr w:type="spellEnd"/>
      <w:r w:rsidRPr="00FF7B92">
        <w:rPr>
          <w:rFonts w:ascii="Arial" w:hAnsi="Arial" w:cs="Arial"/>
        </w:rPr>
        <w:t xml:space="preserve"> no cuenta con matrícula. </w:t>
      </w:r>
    </w:p>
    <w:p w:rsidR="00777300" w:rsidRPr="00FF7B92" w:rsidRDefault="00777300" w:rsidP="00FF7B92">
      <w:pPr>
        <w:pStyle w:val="Sinespaciado"/>
        <w:spacing w:line="360" w:lineRule="auto"/>
        <w:jc w:val="both"/>
        <w:rPr>
          <w:rFonts w:ascii="Arial" w:hAnsi="Arial" w:cs="Arial"/>
        </w:rPr>
      </w:pPr>
    </w:p>
    <w:p w:rsidR="00777300" w:rsidRPr="00FF7B92" w:rsidRDefault="00777300" w:rsidP="00FF7B92">
      <w:pPr>
        <w:pStyle w:val="Sinespaciado"/>
        <w:spacing w:line="360" w:lineRule="auto"/>
        <w:jc w:val="both"/>
        <w:rPr>
          <w:rFonts w:ascii="Arial" w:hAnsi="Arial" w:cs="Arial"/>
        </w:rPr>
      </w:pPr>
      <w:r w:rsidRPr="00FF7B92">
        <w:rPr>
          <w:rFonts w:ascii="Arial" w:hAnsi="Arial" w:cs="Arial"/>
        </w:rPr>
        <w:t xml:space="preserve">De acuerdo al Egreso, los resultados arrojan datos favorables respecto al Nuevo Sanatorio en Durango, ya que ha reportado una constante de 12 a 10 residentes durante los años 2012 a 2018; seguido del Hospital Ángeles del Pedregal con una constante similar al Hospital anterior; y con datos menores de entre 7 y 8 se encuentran los Hospitales Ángeles </w:t>
      </w:r>
      <w:proofErr w:type="spellStart"/>
      <w:r w:rsidRPr="00FF7B92">
        <w:rPr>
          <w:rFonts w:ascii="Arial" w:hAnsi="Arial" w:cs="Arial"/>
        </w:rPr>
        <w:t>Mocel</w:t>
      </w:r>
      <w:proofErr w:type="spellEnd"/>
      <w:r w:rsidRPr="00FF7B92">
        <w:rPr>
          <w:rFonts w:ascii="Arial" w:hAnsi="Arial" w:cs="Arial"/>
        </w:rPr>
        <w:t xml:space="preserve">, Ángeles Metropolitano y Médica Sur. </w:t>
      </w:r>
    </w:p>
    <w:p w:rsidR="00777300" w:rsidRPr="00FF7B92" w:rsidRDefault="00777300" w:rsidP="00FF7B92">
      <w:pPr>
        <w:pStyle w:val="Sinespaciado"/>
        <w:spacing w:line="360" w:lineRule="auto"/>
        <w:jc w:val="both"/>
        <w:rPr>
          <w:rFonts w:ascii="Arial" w:hAnsi="Arial" w:cs="Arial"/>
        </w:rPr>
      </w:pPr>
    </w:p>
    <w:p w:rsidR="00777300" w:rsidRPr="00FF7B92" w:rsidRDefault="00777300" w:rsidP="00FF7B92">
      <w:pPr>
        <w:pStyle w:val="Sinespaciado"/>
        <w:spacing w:line="360" w:lineRule="auto"/>
        <w:jc w:val="both"/>
        <w:rPr>
          <w:rFonts w:ascii="Arial" w:hAnsi="Arial" w:cs="Arial"/>
        </w:rPr>
      </w:pPr>
      <w:r w:rsidRPr="00FF7B92">
        <w:rPr>
          <w:rFonts w:ascii="Arial" w:hAnsi="Arial" w:cs="Arial"/>
        </w:rPr>
        <w:t xml:space="preserve">La Gráfica </w:t>
      </w:r>
      <w:r w:rsidR="002E568D">
        <w:rPr>
          <w:rFonts w:ascii="Arial" w:hAnsi="Arial" w:cs="Arial"/>
        </w:rPr>
        <w:t>13</w:t>
      </w:r>
      <w:r w:rsidRPr="00FF7B92">
        <w:rPr>
          <w:rFonts w:ascii="Arial" w:hAnsi="Arial" w:cs="Arial"/>
        </w:rPr>
        <w:t xml:space="preserve">, muestra los datos generales de los cinco Hospitales respecto al Ingreso, Matrícula y Egreso del 2012 a 2018. El Ingreso refleja cifras sostenidas del 2012 a 2017, sin embargo, en el último año aumentó a 16 estudiantes; la Matrícula indica que hubo una baja durante los años 2016 y 2017, pero en el último año se recuperó con 42; el Egreso cuenta con cifras bajas en comparación del 2012 al 2016. La tasa de crecimiento es: Ingreso 1%, Matrícula -2% y Egreso -5%. </w:t>
      </w:r>
    </w:p>
    <w:p w:rsidR="00777300" w:rsidRDefault="00777300" w:rsidP="00FF7B92">
      <w:pPr>
        <w:pStyle w:val="Sinespaciado"/>
        <w:spacing w:line="360" w:lineRule="auto"/>
        <w:jc w:val="both"/>
        <w:rPr>
          <w:rFonts w:ascii="Arial" w:hAnsi="Arial" w:cs="Arial"/>
        </w:rPr>
      </w:pPr>
    </w:p>
    <w:p w:rsidR="002E568D" w:rsidRPr="00FF7B92" w:rsidRDefault="002E568D" w:rsidP="00FF7B92">
      <w:pPr>
        <w:pStyle w:val="Sinespaciado"/>
        <w:spacing w:line="360" w:lineRule="auto"/>
        <w:jc w:val="both"/>
        <w:rPr>
          <w:rFonts w:ascii="Arial" w:hAnsi="Arial" w:cs="Arial"/>
        </w:rPr>
      </w:pPr>
    </w:p>
    <w:p w:rsidR="00777300" w:rsidRPr="002E568D" w:rsidRDefault="00777300" w:rsidP="002E568D">
      <w:pPr>
        <w:spacing w:after="0" w:line="240" w:lineRule="auto"/>
        <w:jc w:val="center"/>
        <w:rPr>
          <w:rFonts w:ascii="Arial" w:hAnsi="Arial" w:cs="Arial"/>
          <w:b/>
        </w:rPr>
      </w:pPr>
      <w:r w:rsidRPr="002E568D">
        <w:rPr>
          <w:rFonts w:ascii="Arial" w:hAnsi="Arial" w:cs="Arial"/>
          <w:b/>
        </w:rPr>
        <w:lastRenderedPageBreak/>
        <w:t xml:space="preserve">Gráfica </w:t>
      </w:r>
      <w:r w:rsidR="002E568D" w:rsidRPr="002E568D">
        <w:rPr>
          <w:rFonts w:ascii="Arial" w:hAnsi="Arial" w:cs="Arial"/>
          <w:b/>
        </w:rPr>
        <w:t>13</w:t>
      </w:r>
      <w:r w:rsidRPr="002E568D">
        <w:rPr>
          <w:rFonts w:ascii="Arial" w:hAnsi="Arial" w:cs="Arial"/>
          <w:b/>
        </w:rPr>
        <w:t xml:space="preserve"> Evolución de Ingreso, Matrícula y Egreso de la Especialidad en </w:t>
      </w:r>
    </w:p>
    <w:p w:rsidR="00777300" w:rsidRPr="002E568D" w:rsidRDefault="00777300" w:rsidP="002E568D">
      <w:pPr>
        <w:spacing w:after="0" w:line="240" w:lineRule="auto"/>
        <w:jc w:val="center"/>
        <w:rPr>
          <w:rFonts w:ascii="Arial" w:hAnsi="Arial" w:cs="Arial"/>
          <w:b/>
        </w:rPr>
      </w:pPr>
      <w:r w:rsidRPr="002E568D">
        <w:rPr>
          <w:rFonts w:ascii="Arial" w:hAnsi="Arial" w:cs="Arial"/>
          <w:b/>
        </w:rPr>
        <w:t>Cirugía General 2012 a 2018.</w:t>
      </w:r>
    </w:p>
    <w:p w:rsidR="00777300" w:rsidRPr="00F754DB" w:rsidRDefault="00777300" w:rsidP="00777300">
      <w:pPr>
        <w:pStyle w:val="Default"/>
        <w:jc w:val="center"/>
        <w:rPr>
          <w:rFonts w:ascii="Indivisa Text Sans" w:hAnsi="Indivisa Text Sans"/>
          <w:b/>
          <w:sz w:val="23"/>
          <w:szCs w:val="23"/>
        </w:rPr>
      </w:pPr>
      <w:r>
        <w:rPr>
          <w:noProof/>
          <w:lang w:eastAsia="es-MX"/>
        </w:rPr>
        <w:drawing>
          <wp:anchor distT="0" distB="0" distL="114300" distR="114300" simplePos="0" relativeHeight="251663360" behindDoc="0" locked="0" layoutInCell="1" allowOverlap="1" wp14:anchorId="476C4A84" wp14:editId="20739135">
            <wp:simplePos x="0" y="0"/>
            <wp:positionH relativeFrom="column">
              <wp:posOffset>520065</wp:posOffset>
            </wp:positionH>
            <wp:positionV relativeFrom="paragraph">
              <wp:posOffset>-1905</wp:posOffset>
            </wp:positionV>
            <wp:extent cx="4572000" cy="2743200"/>
            <wp:effectExtent l="0" t="0" r="0" b="0"/>
            <wp:wrapNone/>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p>
    <w:p w:rsidR="00777300" w:rsidRPr="002E568D" w:rsidRDefault="00777300" w:rsidP="002E568D">
      <w:pPr>
        <w:spacing w:line="360" w:lineRule="auto"/>
        <w:jc w:val="both"/>
        <w:rPr>
          <w:rFonts w:ascii="Arial" w:hAnsi="Arial" w:cs="Arial"/>
        </w:rPr>
      </w:pPr>
    </w:p>
    <w:p w:rsidR="00777300" w:rsidRPr="002E568D" w:rsidRDefault="00777300" w:rsidP="002E568D">
      <w:pPr>
        <w:spacing w:line="360" w:lineRule="auto"/>
        <w:jc w:val="both"/>
        <w:rPr>
          <w:rFonts w:ascii="Arial" w:hAnsi="Arial" w:cs="Arial"/>
        </w:rPr>
      </w:pPr>
    </w:p>
    <w:p w:rsidR="00777300" w:rsidRPr="002E568D" w:rsidRDefault="00777300" w:rsidP="002E568D">
      <w:pPr>
        <w:spacing w:line="360" w:lineRule="auto"/>
        <w:jc w:val="both"/>
        <w:rPr>
          <w:rFonts w:ascii="Arial" w:hAnsi="Arial" w:cs="Arial"/>
        </w:rPr>
      </w:pPr>
    </w:p>
    <w:p w:rsidR="00777300" w:rsidRPr="002E568D" w:rsidRDefault="00777300" w:rsidP="002E568D">
      <w:pPr>
        <w:spacing w:line="360" w:lineRule="auto"/>
        <w:jc w:val="both"/>
        <w:rPr>
          <w:rFonts w:ascii="Arial" w:hAnsi="Arial" w:cs="Arial"/>
        </w:rPr>
      </w:pPr>
    </w:p>
    <w:p w:rsidR="00777300" w:rsidRPr="002E568D" w:rsidRDefault="00777300" w:rsidP="002E568D">
      <w:pPr>
        <w:spacing w:after="0" w:line="240" w:lineRule="auto"/>
        <w:jc w:val="both"/>
        <w:rPr>
          <w:rFonts w:ascii="Arial" w:hAnsi="Arial" w:cs="Arial"/>
        </w:rPr>
      </w:pPr>
    </w:p>
    <w:p w:rsidR="00777300" w:rsidRPr="002E568D" w:rsidRDefault="00777300" w:rsidP="002E568D">
      <w:pPr>
        <w:spacing w:after="0" w:line="240" w:lineRule="auto"/>
        <w:jc w:val="both"/>
        <w:rPr>
          <w:rFonts w:ascii="Arial" w:hAnsi="Arial" w:cs="Arial"/>
        </w:rPr>
      </w:pPr>
    </w:p>
    <w:p w:rsidR="00777300" w:rsidRDefault="00777300" w:rsidP="002E568D">
      <w:pPr>
        <w:spacing w:after="0" w:line="240" w:lineRule="auto"/>
        <w:jc w:val="both"/>
        <w:rPr>
          <w:rFonts w:ascii="Arial" w:hAnsi="Arial" w:cs="Arial"/>
        </w:rPr>
      </w:pPr>
    </w:p>
    <w:p w:rsidR="002E568D" w:rsidRDefault="002E568D" w:rsidP="002E568D">
      <w:pPr>
        <w:spacing w:after="0" w:line="240" w:lineRule="auto"/>
        <w:jc w:val="both"/>
        <w:rPr>
          <w:rFonts w:ascii="Arial" w:hAnsi="Arial" w:cs="Arial"/>
        </w:rPr>
      </w:pPr>
    </w:p>
    <w:p w:rsidR="002E568D" w:rsidRDefault="002E568D" w:rsidP="002E568D">
      <w:pPr>
        <w:spacing w:after="0" w:line="240" w:lineRule="auto"/>
        <w:jc w:val="both"/>
        <w:rPr>
          <w:rFonts w:ascii="Arial" w:hAnsi="Arial" w:cs="Arial"/>
        </w:rPr>
      </w:pPr>
    </w:p>
    <w:p w:rsidR="002E568D" w:rsidRDefault="002E568D" w:rsidP="002E568D">
      <w:pPr>
        <w:spacing w:after="0" w:line="240" w:lineRule="auto"/>
        <w:jc w:val="both"/>
        <w:rPr>
          <w:rFonts w:ascii="Arial" w:hAnsi="Arial" w:cs="Arial"/>
        </w:rPr>
      </w:pPr>
    </w:p>
    <w:p w:rsidR="002E568D" w:rsidRPr="002E568D" w:rsidRDefault="002E568D" w:rsidP="002E568D">
      <w:pPr>
        <w:spacing w:after="0" w:line="240" w:lineRule="auto"/>
        <w:jc w:val="both"/>
        <w:rPr>
          <w:rFonts w:ascii="Arial" w:hAnsi="Arial" w:cs="Arial"/>
        </w:rPr>
      </w:pPr>
    </w:p>
    <w:p w:rsidR="00032201" w:rsidRDefault="00032201" w:rsidP="002E568D">
      <w:pPr>
        <w:pStyle w:val="Sinespaciado"/>
        <w:jc w:val="center"/>
        <w:rPr>
          <w:rFonts w:ascii="Indivisa Text Sans" w:hAnsi="Indivisa Text Sans"/>
          <w:sz w:val="18"/>
        </w:rPr>
      </w:pPr>
    </w:p>
    <w:p w:rsidR="00777300" w:rsidRPr="00336659" w:rsidRDefault="00777300" w:rsidP="002E568D">
      <w:pPr>
        <w:pStyle w:val="Sinespaciado"/>
        <w:jc w:val="center"/>
        <w:rPr>
          <w:rFonts w:ascii="Indivisa Text Sans" w:hAnsi="Indivisa Text Sans"/>
          <w:sz w:val="18"/>
        </w:rPr>
      </w:pPr>
      <w:r w:rsidRPr="00B717FF">
        <w:rPr>
          <w:rFonts w:ascii="Indivisa Text Sans" w:hAnsi="Indivisa Text Sans"/>
          <w:sz w:val="18"/>
        </w:rPr>
        <w:t>Fuente: Elaboración propia con base en</w:t>
      </w:r>
      <w:r>
        <w:rPr>
          <w:rFonts w:ascii="Indivisa Text Sans" w:hAnsi="Indivisa Text Sans"/>
          <w:sz w:val="18"/>
        </w:rPr>
        <w:t xml:space="preserve"> datos de la Facultad Mexicana de Medicina 2012</w:t>
      </w:r>
      <w:r w:rsidRPr="00B717FF">
        <w:rPr>
          <w:rFonts w:ascii="Indivisa Text Sans" w:hAnsi="Indivisa Text Sans"/>
          <w:sz w:val="18"/>
        </w:rPr>
        <w:t xml:space="preserve"> a 2018.</w:t>
      </w:r>
    </w:p>
    <w:p w:rsidR="00777300" w:rsidRPr="002E568D" w:rsidRDefault="00777300" w:rsidP="002E568D">
      <w:pPr>
        <w:spacing w:after="0" w:line="240" w:lineRule="auto"/>
        <w:jc w:val="both"/>
        <w:rPr>
          <w:rFonts w:ascii="Arial" w:hAnsi="Arial" w:cs="Arial"/>
        </w:rPr>
      </w:pPr>
    </w:p>
    <w:p w:rsidR="005075F2" w:rsidRDefault="002E568D" w:rsidP="00FF7B92">
      <w:pPr>
        <w:pStyle w:val="Sinespaciado"/>
        <w:spacing w:line="360" w:lineRule="auto"/>
        <w:jc w:val="both"/>
        <w:rPr>
          <w:rFonts w:ascii="Arial" w:hAnsi="Arial" w:cs="Arial"/>
        </w:rPr>
      </w:pPr>
      <w:r>
        <w:rPr>
          <w:rFonts w:ascii="Arial" w:hAnsi="Arial" w:cs="Arial"/>
        </w:rPr>
        <w:t>L</w:t>
      </w:r>
      <w:r w:rsidR="00FF7B92" w:rsidRPr="001547A7">
        <w:rPr>
          <w:rFonts w:ascii="Arial" w:hAnsi="Arial" w:cs="Arial"/>
        </w:rPr>
        <w:t xml:space="preserve">as IES con mayor número de Ingreso, Matrícula y Egreso son: La Universidad de Monterrey en primer lugar, la Universidad La Salle en segundo lugar y el Instituto Tecnológico y de Estudios Superiores de Monterrey como tercer lugar. </w:t>
      </w:r>
    </w:p>
    <w:p w:rsidR="005075F2" w:rsidRDefault="005075F2">
      <w:pPr>
        <w:rPr>
          <w:rFonts w:ascii="Arial" w:hAnsi="Arial" w:cs="Arial"/>
        </w:rPr>
      </w:pPr>
      <w:r>
        <w:rPr>
          <w:rFonts w:ascii="Arial" w:hAnsi="Arial" w:cs="Arial"/>
        </w:rPr>
        <w:br w:type="page"/>
      </w:r>
    </w:p>
    <w:p w:rsidR="005075F2" w:rsidRPr="000328F2" w:rsidRDefault="005075F2" w:rsidP="005075F2">
      <w:pPr>
        <w:pStyle w:val="Sinespaciado"/>
        <w:jc w:val="both"/>
        <w:rPr>
          <w:rFonts w:ascii="Arial" w:hAnsi="Arial" w:cs="Arial"/>
          <w:b/>
        </w:rPr>
      </w:pPr>
      <w:r w:rsidRPr="000328F2">
        <w:rPr>
          <w:rFonts w:ascii="Arial" w:hAnsi="Arial" w:cs="Arial"/>
          <w:b/>
        </w:rPr>
        <w:lastRenderedPageBreak/>
        <w:t>BIBLIOGRAFÍA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0328F2">
        <w:rPr>
          <w:rFonts w:ascii="Arial" w:hAnsi="Arial" w:cs="Arial"/>
        </w:rPr>
        <w:t>Bland</w:t>
      </w:r>
      <w:proofErr w:type="spellEnd"/>
      <w:r w:rsidRPr="000328F2">
        <w:rPr>
          <w:rFonts w:ascii="Arial" w:hAnsi="Arial" w:cs="Arial"/>
        </w:rPr>
        <w:t xml:space="preserve">, C. </w:t>
      </w:r>
      <w:r w:rsidRPr="000328F2">
        <w:rPr>
          <w:rFonts w:ascii="Arial" w:hAnsi="Arial" w:cs="Arial"/>
          <w:i/>
        </w:rPr>
        <w:t>et al.</w:t>
      </w:r>
      <w:r w:rsidRPr="000328F2">
        <w:rPr>
          <w:rFonts w:ascii="Arial" w:hAnsi="Arial" w:cs="Arial"/>
        </w:rPr>
        <w:t xml:space="preserve"> </w:t>
      </w:r>
      <w:r w:rsidRPr="00E727FB">
        <w:rPr>
          <w:rFonts w:ascii="Arial" w:hAnsi="Arial" w:cs="Arial"/>
          <w:lang w:val="en-US"/>
        </w:rPr>
        <w:t xml:space="preserve">(1995). Determinants of primary care specialty choice: A non-statistical meta-analysis of the literature. </w:t>
      </w:r>
      <w:proofErr w:type="spellStart"/>
      <w:r w:rsidRPr="000328F2">
        <w:rPr>
          <w:rFonts w:ascii="Arial" w:hAnsi="Arial" w:cs="Arial"/>
          <w:i/>
        </w:rPr>
        <w:t>Acad</w:t>
      </w:r>
      <w:proofErr w:type="spellEnd"/>
      <w:r w:rsidRPr="000328F2">
        <w:rPr>
          <w:rFonts w:ascii="Arial" w:hAnsi="Arial" w:cs="Arial"/>
          <w:i/>
        </w:rPr>
        <w:t xml:space="preserve"> </w:t>
      </w:r>
      <w:proofErr w:type="spellStart"/>
      <w:r w:rsidRPr="000328F2">
        <w:rPr>
          <w:rFonts w:ascii="Arial" w:hAnsi="Arial" w:cs="Arial"/>
          <w:i/>
        </w:rPr>
        <w:t>Med</w:t>
      </w:r>
      <w:proofErr w:type="spellEnd"/>
      <w:r w:rsidRPr="000328F2">
        <w:rPr>
          <w:rFonts w:ascii="Arial" w:hAnsi="Arial" w:cs="Arial"/>
        </w:rPr>
        <w:t xml:space="preserve">, </w:t>
      </w:r>
      <w:r w:rsidRPr="000328F2">
        <w:rPr>
          <w:rFonts w:ascii="Arial" w:hAnsi="Arial" w:cs="Arial"/>
          <w:i/>
        </w:rPr>
        <w:t>70</w:t>
      </w:r>
      <w:r w:rsidRPr="000328F2">
        <w:rPr>
          <w:rFonts w:ascii="Arial" w:hAnsi="Arial" w:cs="Arial"/>
        </w:rPr>
        <w:t xml:space="preserve">(7), </w:t>
      </w:r>
      <w:r w:rsidRPr="00E727FB">
        <w:rPr>
          <w:rFonts w:ascii="Arial" w:hAnsi="Arial" w:cs="Arial"/>
        </w:rPr>
        <w:t>620–641.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Cárdenas, R. (2010). Desafíos de la atención a la salud.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 (</w:t>
      </w:r>
      <w:r w:rsidRPr="00E727FB">
        <w:rPr>
          <w:rFonts w:ascii="Arial" w:hAnsi="Arial" w:cs="Arial"/>
        </w:rPr>
        <w:t>pp.105-136)</w:t>
      </w:r>
      <w:r w:rsidRPr="00E727FB">
        <w:rPr>
          <w:rFonts w:ascii="Arial" w:hAnsi="Arial" w:cs="Arial"/>
          <w:i/>
        </w:rPr>
        <w:t>.</w:t>
      </w:r>
      <w:r w:rsidRPr="00E727FB">
        <w:rPr>
          <w:rFonts w:ascii="Arial" w:hAnsi="Arial" w:cs="Arial"/>
        </w:rPr>
        <w:t xml:space="preserve"> México: El Colegio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Cervantes, J. (2016). La preocupante anarquía en la práctica de la cirugía general en México. </w:t>
      </w:r>
      <w:r w:rsidRPr="00E727FB">
        <w:rPr>
          <w:rFonts w:ascii="Arial" w:hAnsi="Arial" w:cs="Arial"/>
          <w:i/>
        </w:rPr>
        <w:t>Cirujano General</w:t>
      </w:r>
      <w:r w:rsidRPr="00E727FB">
        <w:rPr>
          <w:rFonts w:ascii="Arial" w:hAnsi="Arial" w:cs="Arial"/>
        </w:rPr>
        <w:t xml:space="preserve">, </w:t>
      </w:r>
      <w:r w:rsidRPr="00E727FB">
        <w:rPr>
          <w:rFonts w:ascii="Arial" w:hAnsi="Arial" w:cs="Arial"/>
          <w:i/>
        </w:rPr>
        <w:t>36</w:t>
      </w:r>
      <w:r w:rsidRPr="00E727FB">
        <w:rPr>
          <w:rFonts w:ascii="Arial" w:hAnsi="Arial" w:cs="Arial"/>
        </w:rPr>
        <w:t>(2), 92-94.</w:t>
      </w:r>
    </w:p>
    <w:p w:rsidR="005075F2" w:rsidRPr="00E727FB"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r w:rsidRPr="00E727FB">
        <w:rPr>
          <w:rFonts w:ascii="Arial" w:hAnsi="Arial" w:cs="Arial"/>
        </w:rPr>
        <w:t xml:space="preserve">CONAPO (2018). </w:t>
      </w:r>
      <w:r w:rsidRPr="00E727FB">
        <w:rPr>
          <w:rFonts w:ascii="Arial" w:hAnsi="Arial" w:cs="Arial"/>
          <w:i/>
        </w:rPr>
        <w:t>Proyecciones de población de México y de las entidades federativas 2016-2050.</w:t>
      </w:r>
      <w:r w:rsidRPr="00E727FB">
        <w:rPr>
          <w:rFonts w:ascii="Arial" w:hAnsi="Arial" w:cs="Arial"/>
        </w:rPr>
        <w:t xml:space="preserve"> CONAPO. México. [En línea].  http://www.conapo.gob.mx. [Consulta el 1 de febrero de 2019]. </w:t>
      </w:r>
    </w:p>
    <w:p w:rsidR="005075F2"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r w:rsidRPr="00E727FB">
        <w:rPr>
          <w:rFonts w:ascii="Arial" w:hAnsi="Arial" w:cs="Arial"/>
        </w:rPr>
        <w:t>Constitución Política de los Estados Unidos Mexicanos. Diario Oficial de la Federación, Ciudad de México, México, 06 de junio de 2019.</w:t>
      </w:r>
    </w:p>
    <w:p w:rsidR="005075F2" w:rsidRDefault="005075F2" w:rsidP="005075F2">
      <w:pPr>
        <w:pStyle w:val="Sinespaciado"/>
        <w:jc w:val="both"/>
        <w:rPr>
          <w:rFonts w:ascii="Arial" w:hAnsi="Arial" w:cs="Arial"/>
        </w:rPr>
      </w:pPr>
    </w:p>
    <w:p w:rsidR="005075F2" w:rsidRPr="000328F2" w:rsidRDefault="005075F2" w:rsidP="005075F2">
      <w:pPr>
        <w:pStyle w:val="Sinespaciado"/>
        <w:jc w:val="both"/>
        <w:rPr>
          <w:rFonts w:ascii="Arial" w:hAnsi="Arial" w:cs="Arial"/>
          <w:lang w:val="en-US"/>
        </w:rPr>
      </w:pPr>
      <w:r w:rsidRPr="00E727FB">
        <w:rPr>
          <w:rFonts w:ascii="Arial" w:hAnsi="Arial" w:cs="Arial"/>
        </w:rPr>
        <w:t xml:space="preserve">Córdoba, J. </w:t>
      </w:r>
      <w:r w:rsidRPr="00E727FB">
        <w:rPr>
          <w:rFonts w:ascii="Arial" w:hAnsi="Arial" w:cs="Arial"/>
          <w:i/>
        </w:rPr>
        <w:t xml:space="preserve"> et al. </w:t>
      </w:r>
      <w:r w:rsidRPr="00E727FB">
        <w:rPr>
          <w:rFonts w:ascii="Arial" w:hAnsi="Arial" w:cs="Arial"/>
        </w:rPr>
        <w:t xml:space="preserve">(2008). Las enfermedades crónicas no transmisibles en México: Sinopsis epidemiológica y prevención integral. </w:t>
      </w:r>
      <w:proofErr w:type="spellStart"/>
      <w:r w:rsidRPr="000328F2">
        <w:rPr>
          <w:rFonts w:ascii="Arial" w:hAnsi="Arial" w:cs="Arial"/>
          <w:i/>
          <w:lang w:val="en-US"/>
        </w:rPr>
        <w:t>Salud</w:t>
      </w:r>
      <w:proofErr w:type="spellEnd"/>
      <w:r w:rsidRPr="000328F2">
        <w:rPr>
          <w:rFonts w:ascii="Arial" w:hAnsi="Arial" w:cs="Arial"/>
          <w:i/>
          <w:lang w:val="en-US"/>
        </w:rPr>
        <w:t xml:space="preserve"> </w:t>
      </w:r>
      <w:proofErr w:type="spellStart"/>
      <w:r w:rsidRPr="000328F2">
        <w:rPr>
          <w:rFonts w:ascii="Arial" w:hAnsi="Arial" w:cs="Arial"/>
          <w:i/>
          <w:lang w:val="en-US"/>
        </w:rPr>
        <w:t>Pública</w:t>
      </w:r>
      <w:proofErr w:type="spellEnd"/>
      <w:r w:rsidRPr="000328F2">
        <w:rPr>
          <w:rFonts w:ascii="Arial" w:hAnsi="Arial" w:cs="Arial"/>
          <w:i/>
          <w:lang w:val="en-US"/>
        </w:rPr>
        <w:t xml:space="preserve"> de México</w:t>
      </w:r>
      <w:r w:rsidRPr="000328F2">
        <w:rPr>
          <w:rFonts w:ascii="Arial" w:hAnsi="Arial" w:cs="Arial"/>
          <w:lang w:val="en-US"/>
        </w:rPr>
        <w:t xml:space="preserve">, </w:t>
      </w:r>
      <w:r w:rsidRPr="000328F2">
        <w:rPr>
          <w:rFonts w:ascii="Arial" w:hAnsi="Arial" w:cs="Arial"/>
          <w:i/>
          <w:lang w:val="en-US"/>
        </w:rPr>
        <w:t>33</w:t>
      </w:r>
      <w:r w:rsidRPr="000328F2">
        <w:rPr>
          <w:rFonts w:ascii="Arial" w:hAnsi="Arial" w:cs="Arial"/>
          <w:lang w:val="en-US"/>
        </w:rPr>
        <w:t xml:space="preserve">(5), 448-462. </w:t>
      </w:r>
    </w:p>
    <w:p w:rsidR="005075F2" w:rsidRPr="00E727FB" w:rsidRDefault="005075F2" w:rsidP="005075F2">
      <w:pPr>
        <w:pStyle w:val="Sinespaciado"/>
        <w:jc w:val="both"/>
        <w:rPr>
          <w:rFonts w:ascii="Arial" w:hAnsi="Arial" w:cs="Arial"/>
          <w:lang w:val="en-US"/>
        </w:rPr>
      </w:pPr>
    </w:p>
    <w:p w:rsidR="005075F2" w:rsidRPr="00E727FB" w:rsidRDefault="005075F2" w:rsidP="005075F2">
      <w:pPr>
        <w:pStyle w:val="Sinespaciado"/>
        <w:jc w:val="both"/>
        <w:rPr>
          <w:rFonts w:ascii="Arial" w:hAnsi="Arial" w:cs="Arial"/>
        </w:rPr>
      </w:pPr>
      <w:proofErr w:type="spellStart"/>
      <w:r w:rsidRPr="00E727FB">
        <w:rPr>
          <w:rFonts w:ascii="Arial" w:hAnsi="Arial" w:cs="Arial"/>
          <w:lang w:val="en-US"/>
        </w:rPr>
        <w:t>Dussault</w:t>
      </w:r>
      <w:proofErr w:type="spellEnd"/>
      <w:r w:rsidRPr="00E727FB">
        <w:rPr>
          <w:rFonts w:ascii="Arial" w:hAnsi="Arial" w:cs="Arial"/>
          <w:lang w:val="en-US"/>
        </w:rPr>
        <w:t xml:space="preserve">, G. y M. </w:t>
      </w:r>
      <w:proofErr w:type="spellStart"/>
      <w:r w:rsidRPr="00E727FB">
        <w:rPr>
          <w:rFonts w:ascii="Arial" w:hAnsi="Arial" w:cs="Arial"/>
          <w:lang w:val="en-US"/>
        </w:rPr>
        <w:t>Franceschini</w:t>
      </w:r>
      <w:proofErr w:type="spellEnd"/>
      <w:r w:rsidRPr="00E727FB">
        <w:rPr>
          <w:rFonts w:ascii="Arial" w:hAnsi="Arial" w:cs="Arial"/>
          <w:lang w:val="en-US"/>
        </w:rPr>
        <w:t xml:space="preserve"> (2006). Not enough there, too many here: Understanding geographical imbalances in the distribution of the health workforce. </w:t>
      </w:r>
      <w:r w:rsidRPr="00E727FB">
        <w:rPr>
          <w:rFonts w:ascii="Arial" w:hAnsi="Arial" w:cs="Arial"/>
          <w:i/>
        </w:rPr>
        <w:t xml:space="preserve">Human </w:t>
      </w:r>
      <w:proofErr w:type="spellStart"/>
      <w:r w:rsidRPr="00E727FB">
        <w:rPr>
          <w:rFonts w:ascii="Arial" w:hAnsi="Arial" w:cs="Arial"/>
          <w:i/>
        </w:rPr>
        <w:t>Resources</w:t>
      </w:r>
      <w:proofErr w:type="spellEnd"/>
      <w:r w:rsidRPr="00E727FB">
        <w:rPr>
          <w:rFonts w:ascii="Arial" w:hAnsi="Arial" w:cs="Arial"/>
          <w:i/>
        </w:rPr>
        <w:t xml:space="preserve"> </w:t>
      </w:r>
      <w:proofErr w:type="spellStart"/>
      <w:r w:rsidRPr="00E727FB">
        <w:rPr>
          <w:rFonts w:ascii="Arial" w:hAnsi="Arial" w:cs="Arial"/>
          <w:i/>
        </w:rPr>
        <w:t>for</w:t>
      </w:r>
      <w:proofErr w:type="spellEnd"/>
      <w:r w:rsidRPr="00E727FB">
        <w:rPr>
          <w:rFonts w:ascii="Arial" w:hAnsi="Arial" w:cs="Arial"/>
          <w:i/>
        </w:rPr>
        <w:t xml:space="preserve"> </w:t>
      </w:r>
      <w:proofErr w:type="spellStart"/>
      <w:r w:rsidRPr="00E727FB">
        <w:rPr>
          <w:rFonts w:ascii="Arial" w:hAnsi="Arial" w:cs="Arial"/>
          <w:i/>
        </w:rPr>
        <w:t>Health</w:t>
      </w:r>
      <w:proofErr w:type="spellEnd"/>
      <w:r w:rsidRPr="00E727FB">
        <w:rPr>
          <w:rFonts w:ascii="Arial" w:hAnsi="Arial" w:cs="Arial"/>
        </w:rPr>
        <w:t xml:space="preserve">, </w:t>
      </w:r>
      <w:r w:rsidRPr="00E727FB">
        <w:rPr>
          <w:rFonts w:ascii="Arial" w:hAnsi="Arial" w:cs="Arial"/>
          <w:i/>
        </w:rPr>
        <w:t>4</w:t>
      </w:r>
      <w:r w:rsidRPr="00E727FB">
        <w:rPr>
          <w:rFonts w:ascii="Arial" w:hAnsi="Arial" w:cs="Arial"/>
        </w:rPr>
        <w:t>(12), 1-16.</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Fajardo, G. </w:t>
      </w:r>
      <w:r w:rsidRPr="00E727FB">
        <w:rPr>
          <w:rFonts w:ascii="Arial" w:hAnsi="Arial" w:cs="Arial"/>
          <w:i/>
        </w:rPr>
        <w:t xml:space="preserve"> et al.</w:t>
      </w:r>
      <w:r w:rsidRPr="00E727FB">
        <w:rPr>
          <w:rFonts w:ascii="Arial" w:hAnsi="Arial" w:cs="Arial"/>
        </w:rPr>
        <w:t xml:space="preserve"> (2015). La planificación y formación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w:t>
      </w:r>
      <w:r w:rsidRPr="00E727FB">
        <w:rPr>
          <w:rFonts w:ascii="Arial" w:hAnsi="Arial" w:cs="Arial"/>
          <w:i/>
        </w:rPr>
        <w:t xml:space="preserve"> La formación de médicos especialistas en México. Documento de postura</w:t>
      </w:r>
      <w:r w:rsidRPr="00E727FB">
        <w:rPr>
          <w:rFonts w:ascii="Arial" w:hAnsi="Arial" w:cs="Arial"/>
        </w:rPr>
        <w:t xml:space="preserve"> (pp. 31-42). México: Academia Nacional de Medicina de México y Consejo Nacional de Ciencia y Tecnología.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Fajardo, G. (2015). Propuesta de modelo para la formación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187-201).  México: Academia Nacional de Medicina de México y Consejo Nacional de Ciencia y Tecnología.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Fajardo, G.</w:t>
      </w:r>
      <w:r w:rsidRPr="00E727FB">
        <w:rPr>
          <w:rFonts w:ascii="Arial" w:hAnsi="Arial" w:cs="Arial"/>
          <w:i/>
        </w:rPr>
        <w:t xml:space="preserve"> et al.</w:t>
      </w:r>
      <w:r w:rsidRPr="00E727FB">
        <w:rPr>
          <w:rFonts w:ascii="Arial" w:hAnsi="Arial" w:cs="Arial"/>
        </w:rPr>
        <w:t xml:space="preserve"> (2015). Conclusiones y lecciones aprendidas de la experiencia nacional.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43-56). México: Academia Nacional de Medicina de México y Consejo Nacional de Ciencia y Tecnología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Fajardo, G. </w:t>
      </w:r>
      <w:r w:rsidRPr="00E727FB">
        <w:rPr>
          <w:rFonts w:ascii="Arial" w:hAnsi="Arial" w:cs="Arial"/>
          <w:i/>
        </w:rPr>
        <w:t xml:space="preserve">et al. </w:t>
      </w:r>
      <w:r w:rsidRPr="00E727FB">
        <w:rPr>
          <w:rFonts w:ascii="Arial" w:hAnsi="Arial" w:cs="Arial"/>
        </w:rPr>
        <w:t xml:space="preserve">(2015). </w:t>
      </w:r>
      <w:r w:rsidRPr="00E727FB">
        <w:rPr>
          <w:rFonts w:ascii="Arial" w:hAnsi="Arial" w:cs="Arial"/>
          <w:i/>
        </w:rPr>
        <w:t xml:space="preserve">La formación de médicos especialistas en México. </w:t>
      </w:r>
      <w:r w:rsidRPr="00E727FB">
        <w:rPr>
          <w:rFonts w:ascii="Arial" w:hAnsi="Arial" w:cs="Arial"/>
        </w:rPr>
        <w:t>México: Academia Nacional de Medicina.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Frenk</w:t>
      </w:r>
      <w:proofErr w:type="spellEnd"/>
      <w:r w:rsidRPr="00E727FB">
        <w:rPr>
          <w:rFonts w:ascii="Arial" w:hAnsi="Arial" w:cs="Arial"/>
        </w:rPr>
        <w:t xml:space="preserve">, J. </w:t>
      </w:r>
      <w:r w:rsidRPr="00E727FB">
        <w:rPr>
          <w:rFonts w:ascii="Arial" w:hAnsi="Arial" w:cs="Arial"/>
          <w:i/>
        </w:rPr>
        <w:t xml:space="preserve"> et al.</w:t>
      </w:r>
      <w:r w:rsidRPr="00E727FB">
        <w:rPr>
          <w:rFonts w:ascii="Arial" w:hAnsi="Arial" w:cs="Arial"/>
        </w:rPr>
        <w:t xml:space="preserve"> (1991a). Elementos para una teoría de la transición en salud. </w:t>
      </w:r>
      <w:r w:rsidRPr="00E727FB">
        <w:rPr>
          <w:rFonts w:ascii="Arial" w:hAnsi="Arial" w:cs="Arial"/>
          <w:i/>
        </w:rPr>
        <w:t>Salud Pública de México</w:t>
      </w:r>
      <w:r w:rsidRPr="00E727FB">
        <w:rPr>
          <w:rFonts w:ascii="Arial" w:hAnsi="Arial" w:cs="Arial"/>
        </w:rPr>
        <w:t xml:space="preserve">, </w:t>
      </w:r>
      <w:r w:rsidRPr="00E727FB">
        <w:rPr>
          <w:rFonts w:ascii="Arial" w:hAnsi="Arial" w:cs="Arial"/>
          <w:i/>
        </w:rPr>
        <w:t>33</w:t>
      </w:r>
      <w:r w:rsidRPr="00E727FB">
        <w:rPr>
          <w:rFonts w:ascii="Arial" w:hAnsi="Arial" w:cs="Arial"/>
        </w:rPr>
        <w:t>(5), 448-462.</w:t>
      </w:r>
    </w:p>
    <w:p w:rsidR="005075F2" w:rsidRPr="00E727FB"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proofErr w:type="spellStart"/>
      <w:r w:rsidRPr="00E727FB">
        <w:rPr>
          <w:rFonts w:ascii="Arial" w:hAnsi="Arial" w:cs="Arial"/>
        </w:rPr>
        <w:t>Frenk</w:t>
      </w:r>
      <w:proofErr w:type="spellEnd"/>
      <w:r w:rsidRPr="00E727FB">
        <w:rPr>
          <w:rFonts w:ascii="Arial" w:hAnsi="Arial" w:cs="Arial"/>
        </w:rPr>
        <w:t xml:space="preserve">, J. </w:t>
      </w:r>
      <w:r w:rsidRPr="00E727FB">
        <w:rPr>
          <w:rFonts w:ascii="Arial" w:hAnsi="Arial" w:cs="Arial"/>
          <w:i/>
        </w:rPr>
        <w:t>et al.</w:t>
      </w:r>
      <w:r w:rsidRPr="00E727FB">
        <w:rPr>
          <w:rFonts w:ascii="Arial" w:hAnsi="Arial" w:cs="Arial"/>
        </w:rPr>
        <w:t xml:space="preserve"> (1991). La transición epidemiológica en América Latina. </w:t>
      </w:r>
      <w:r w:rsidRPr="00E727FB">
        <w:rPr>
          <w:rFonts w:ascii="Arial" w:hAnsi="Arial" w:cs="Arial"/>
          <w:i/>
        </w:rPr>
        <w:t>Boletín de la Oficina Sanitaria Panamericana</w:t>
      </w:r>
      <w:r w:rsidRPr="00E727FB">
        <w:rPr>
          <w:rFonts w:ascii="Arial" w:hAnsi="Arial" w:cs="Arial"/>
        </w:rPr>
        <w:t xml:space="preserve">, </w:t>
      </w:r>
      <w:r w:rsidRPr="00E727FB">
        <w:rPr>
          <w:rFonts w:ascii="Arial" w:hAnsi="Arial" w:cs="Arial"/>
          <w:i/>
        </w:rPr>
        <w:t>111</w:t>
      </w:r>
      <w:r w:rsidRPr="00E727FB">
        <w:rPr>
          <w:rFonts w:ascii="Arial" w:hAnsi="Arial" w:cs="Arial"/>
        </w:rPr>
        <w:t>(6), 485-496.</w:t>
      </w:r>
    </w:p>
    <w:p w:rsidR="005075F2"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5075F2">
        <w:rPr>
          <w:rFonts w:ascii="Arial" w:hAnsi="Arial" w:cs="Arial"/>
        </w:rPr>
        <w:lastRenderedPageBreak/>
        <w:t>Graue</w:t>
      </w:r>
      <w:proofErr w:type="spellEnd"/>
      <w:r w:rsidRPr="005075F2">
        <w:rPr>
          <w:rFonts w:ascii="Arial" w:hAnsi="Arial" w:cs="Arial"/>
        </w:rPr>
        <w:t>, E. (2015). Posicionamiento de la Academia Nacional de Medicina. En Fajardo, G., Santacruz, J. y C. Lavalle (</w:t>
      </w:r>
      <w:proofErr w:type="spellStart"/>
      <w:r w:rsidRPr="005075F2">
        <w:rPr>
          <w:rFonts w:ascii="Arial" w:hAnsi="Arial" w:cs="Arial"/>
        </w:rPr>
        <w:t>Coords</w:t>
      </w:r>
      <w:proofErr w:type="spellEnd"/>
      <w:r w:rsidRPr="005075F2">
        <w:rPr>
          <w:rFonts w:ascii="Arial" w:hAnsi="Arial" w:cs="Arial"/>
        </w:rPr>
        <w:t>.),</w:t>
      </w:r>
      <w:r w:rsidRPr="005075F2">
        <w:rPr>
          <w:rFonts w:ascii="Arial" w:hAnsi="Arial" w:cs="Arial"/>
          <w:i/>
        </w:rPr>
        <w:t xml:space="preserve"> La formación de médicos especialistas en México. Documento de postura</w:t>
      </w:r>
      <w:r w:rsidRPr="005075F2">
        <w:rPr>
          <w:rFonts w:ascii="Arial" w:hAnsi="Arial" w:cs="Arial"/>
        </w:rPr>
        <w:t xml:space="preserve"> (pp. 235-243). México: Academia Nacional de Medicina de México y Consejo Nacional de Ciencia y Tecnología.</w:t>
      </w:r>
    </w:p>
    <w:p w:rsidR="005075F2" w:rsidRPr="000328F2" w:rsidRDefault="005075F2" w:rsidP="005075F2">
      <w:pPr>
        <w:pStyle w:val="Sinespaciado"/>
        <w:jc w:val="both"/>
        <w:rPr>
          <w:rFonts w:ascii="Arial" w:hAnsi="Arial" w:cs="Arial"/>
        </w:rPr>
      </w:pPr>
    </w:p>
    <w:p w:rsidR="005075F2" w:rsidRPr="000328F2" w:rsidRDefault="005075F2" w:rsidP="005075F2">
      <w:pPr>
        <w:pStyle w:val="Sinespaciado"/>
        <w:jc w:val="both"/>
        <w:rPr>
          <w:rFonts w:ascii="Arial" w:hAnsi="Arial" w:cs="Arial"/>
        </w:rPr>
      </w:pPr>
      <w:r w:rsidRPr="000328F2">
        <w:rPr>
          <w:rFonts w:ascii="Arial" w:hAnsi="Arial" w:cs="Arial"/>
        </w:rPr>
        <w:t xml:space="preserve">Gutiérrez, C. </w:t>
      </w:r>
      <w:r w:rsidRPr="000328F2">
        <w:rPr>
          <w:rFonts w:ascii="Arial" w:hAnsi="Arial" w:cs="Arial"/>
          <w:i/>
        </w:rPr>
        <w:t>et al.</w:t>
      </w:r>
      <w:r w:rsidRPr="000328F2">
        <w:rPr>
          <w:rFonts w:ascii="Arial" w:hAnsi="Arial" w:cs="Arial"/>
        </w:rPr>
        <w:t xml:space="preserve"> </w:t>
      </w:r>
      <w:r w:rsidRPr="00E727FB">
        <w:rPr>
          <w:rFonts w:ascii="Arial" w:hAnsi="Arial" w:cs="Arial"/>
        </w:rPr>
        <w:t xml:space="preserve">(2017). Factores relacionados con la elección de una especialidad en medicina. </w:t>
      </w:r>
      <w:r w:rsidRPr="000328F2">
        <w:rPr>
          <w:rFonts w:ascii="Arial" w:hAnsi="Arial" w:cs="Arial"/>
          <w:i/>
        </w:rPr>
        <w:t>Investigación en Educación Médica</w:t>
      </w:r>
      <w:r w:rsidRPr="000328F2">
        <w:rPr>
          <w:rFonts w:ascii="Arial" w:hAnsi="Arial" w:cs="Arial"/>
        </w:rPr>
        <w:t xml:space="preserve">, </w:t>
      </w:r>
      <w:r w:rsidRPr="000328F2">
        <w:rPr>
          <w:rFonts w:ascii="Arial" w:hAnsi="Arial" w:cs="Arial"/>
          <w:i/>
        </w:rPr>
        <w:t>6</w:t>
      </w:r>
      <w:r w:rsidRPr="000328F2">
        <w:rPr>
          <w:rFonts w:ascii="Arial" w:hAnsi="Arial" w:cs="Arial"/>
        </w:rPr>
        <w:t>(23), 206-214.</w:t>
      </w:r>
    </w:p>
    <w:p w:rsidR="005075F2" w:rsidRPr="000328F2"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Heinze</w:t>
      </w:r>
      <w:proofErr w:type="spellEnd"/>
      <w:r w:rsidRPr="00E727FB">
        <w:rPr>
          <w:rFonts w:ascii="Arial" w:hAnsi="Arial" w:cs="Arial"/>
        </w:rPr>
        <w:t xml:space="preserve">, G. </w:t>
      </w:r>
      <w:r w:rsidRPr="00E727FB">
        <w:rPr>
          <w:rFonts w:ascii="Arial" w:hAnsi="Arial" w:cs="Arial"/>
          <w:i/>
        </w:rPr>
        <w:t>et al.</w:t>
      </w:r>
      <w:r w:rsidRPr="00E727FB">
        <w:rPr>
          <w:rFonts w:ascii="Arial" w:hAnsi="Arial" w:cs="Arial"/>
        </w:rPr>
        <w:t xml:space="preserve"> (2018). Los médicos especialistas en México. </w:t>
      </w:r>
      <w:r w:rsidRPr="00E727FB">
        <w:rPr>
          <w:rFonts w:ascii="Arial" w:hAnsi="Arial" w:cs="Arial"/>
          <w:i/>
        </w:rPr>
        <w:t>Gaceta Médica de México</w:t>
      </w:r>
      <w:r w:rsidRPr="00E727FB">
        <w:rPr>
          <w:rFonts w:ascii="Arial" w:hAnsi="Arial" w:cs="Arial"/>
        </w:rPr>
        <w:t>, 154, 342-351.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Hernández, E. </w:t>
      </w:r>
      <w:r w:rsidRPr="00E727FB">
        <w:rPr>
          <w:rFonts w:ascii="Arial" w:hAnsi="Arial" w:cs="Arial"/>
          <w:i/>
        </w:rPr>
        <w:t xml:space="preserve"> et al.</w:t>
      </w:r>
      <w:r w:rsidRPr="00E727FB">
        <w:rPr>
          <w:rFonts w:ascii="Arial" w:hAnsi="Arial" w:cs="Arial"/>
        </w:rPr>
        <w:t xml:space="preserve"> (2012). Análisis del equilibrio entre oferta y demanda de profesionistas en el período 2001-2009. En Hernández, E. (Coord.), </w:t>
      </w:r>
      <w:r w:rsidRPr="00E727FB">
        <w:rPr>
          <w:rFonts w:ascii="Arial" w:hAnsi="Arial" w:cs="Arial"/>
          <w:i/>
        </w:rPr>
        <w:t>Mercado laboral de profesionistas en México. Diagnóstico (2000-2009) y prospectiva (2010-2020)</w:t>
      </w:r>
      <w:r w:rsidRPr="00E727FB">
        <w:rPr>
          <w:rFonts w:ascii="Arial" w:hAnsi="Arial" w:cs="Arial"/>
        </w:rPr>
        <w:t xml:space="preserve"> (pp. 251-267). México: Asociación Nacional de Universidades e Instituciones de Educación Superior.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(2016). </w:t>
      </w:r>
      <w:r w:rsidRPr="00E727FB">
        <w:rPr>
          <w:rFonts w:ascii="Arial" w:hAnsi="Arial" w:cs="Arial"/>
          <w:i/>
        </w:rPr>
        <w:t xml:space="preserve">Encuesta </w:t>
      </w:r>
      <w:proofErr w:type="spellStart"/>
      <w:r w:rsidRPr="00E727FB">
        <w:rPr>
          <w:rFonts w:ascii="Arial" w:hAnsi="Arial" w:cs="Arial"/>
          <w:i/>
        </w:rPr>
        <w:t>Intercensal</w:t>
      </w:r>
      <w:proofErr w:type="spellEnd"/>
      <w:r w:rsidRPr="00E727FB">
        <w:rPr>
          <w:rFonts w:ascii="Arial" w:hAnsi="Arial" w:cs="Arial"/>
          <w:i/>
        </w:rPr>
        <w:t xml:space="preserve"> 2015</w:t>
      </w:r>
      <w:r w:rsidRPr="00E727FB">
        <w:rPr>
          <w:rFonts w:ascii="Arial" w:hAnsi="Arial" w:cs="Arial"/>
        </w:rPr>
        <w:t xml:space="preserve">. INEGI. México. [En línea]. https://www.inegi.org.mx/programas/intercensal/2015/ [Consulta el 02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(2018). </w:t>
      </w:r>
      <w:r w:rsidRPr="00E727FB">
        <w:rPr>
          <w:rFonts w:ascii="Arial" w:hAnsi="Arial" w:cs="Arial"/>
          <w:i/>
        </w:rPr>
        <w:t>Salud en establecimientos particulares 2017</w:t>
      </w:r>
      <w:r w:rsidRPr="00E727FB">
        <w:rPr>
          <w:rFonts w:ascii="Arial" w:hAnsi="Arial" w:cs="Arial"/>
        </w:rPr>
        <w:t xml:space="preserve">. INEGI. México.  [En línea]. https://www.inegi.org.mx/programas/salud/default.html#Datos_abiertos [Consulta el 8 de marzo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(2019). </w:t>
      </w:r>
      <w:r w:rsidRPr="00E727FB">
        <w:rPr>
          <w:rFonts w:ascii="Arial" w:hAnsi="Arial" w:cs="Arial"/>
          <w:i/>
        </w:rPr>
        <w:t>Defunciones generales en México 2017</w:t>
      </w:r>
      <w:r w:rsidRPr="00E727FB">
        <w:rPr>
          <w:rFonts w:ascii="Arial" w:hAnsi="Arial" w:cs="Arial"/>
        </w:rPr>
        <w:t>. INEGI. México. [En línea]. https://www.inegi.org.mx/programas/mortalidad/ [Consulta el 05 de febrero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(2019a). </w:t>
      </w:r>
      <w:r w:rsidRPr="00E727FB">
        <w:rPr>
          <w:rFonts w:ascii="Arial" w:hAnsi="Arial" w:cs="Arial"/>
          <w:i/>
        </w:rPr>
        <w:t>Encuesta Nacional de Ocupación y Empleo (ENOE), 4to trimestre de 2018</w:t>
      </w:r>
      <w:r w:rsidRPr="00E727FB">
        <w:rPr>
          <w:rFonts w:ascii="Arial" w:hAnsi="Arial" w:cs="Arial"/>
        </w:rPr>
        <w:t xml:space="preserve">. INEGI. México. [En línea]. </w:t>
      </w:r>
      <w:r w:rsidRPr="000024BF">
        <w:rPr>
          <w:rStyle w:val="Hipervnculo"/>
          <w:rFonts w:ascii="Arial" w:hAnsi="Arial" w:cs="Arial"/>
          <w:color w:val="auto"/>
          <w:u w:val="none"/>
        </w:rPr>
        <w:t>https://www.inegi.org.mx/programas/enoe/15ymas/default.html</w:t>
      </w:r>
      <w:r w:rsidRPr="000024BF">
        <w:rPr>
          <w:rFonts w:ascii="Arial" w:hAnsi="Arial" w:cs="Arial"/>
        </w:rPr>
        <w:t xml:space="preserve"> </w:t>
      </w:r>
      <w:r w:rsidRPr="00E727FB">
        <w:rPr>
          <w:rFonts w:ascii="Arial" w:hAnsi="Arial" w:cs="Arial"/>
        </w:rPr>
        <w:t>[Consulta el 26 de marzo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Instituto Nacional de Salud Pública (2017). </w:t>
      </w:r>
      <w:r w:rsidRPr="00E727FB">
        <w:rPr>
          <w:rFonts w:ascii="Arial" w:hAnsi="Arial" w:cs="Arial"/>
          <w:i/>
        </w:rPr>
        <w:t xml:space="preserve">Brechas en la disponibilidad de médicos y enfermeras especialistas en el sistema nacional de salud. </w:t>
      </w:r>
      <w:r w:rsidRPr="00E727FB">
        <w:rPr>
          <w:rFonts w:ascii="Arial" w:hAnsi="Arial" w:cs="Arial"/>
        </w:rPr>
        <w:t>México. [En línea]. http://www.cifrhs.salud.gob.mx/site1/residencias/brechas_medico_enf_esp.pdf [Consulta el 14 de diciembre de 2018].</w:t>
      </w:r>
    </w:p>
    <w:p w:rsidR="005075F2" w:rsidRPr="000328F2"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lang w:val="en-US"/>
        </w:rPr>
        <w:t xml:space="preserve">Knoll, M. (1997). The project method: Its vocational education origin and international development. </w:t>
      </w:r>
      <w:proofErr w:type="spellStart"/>
      <w:r w:rsidRPr="00E727FB">
        <w:rPr>
          <w:rFonts w:ascii="Arial" w:hAnsi="Arial" w:cs="Arial"/>
          <w:i/>
        </w:rPr>
        <w:t>Journal</w:t>
      </w:r>
      <w:proofErr w:type="spellEnd"/>
      <w:r w:rsidRPr="00E727FB">
        <w:rPr>
          <w:rFonts w:ascii="Arial" w:hAnsi="Arial" w:cs="Arial"/>
          <w:i/>
        </w:rPr>
        <w:t xml:space="preserve"> of Industrial </w:t>
      </w:r>
      <w:proofErr w:type="spellStart"/>
      <w:r w:rsidRPr="00E727FB">
        <w:rPr>
          <w:rFonts w:ascii="Arial" w:hAnsi="Arial" w:cs="Arial"/>
          <w:i/>
        </w:rPr>
        <w:t>Teacher</w:t>
      </w:r>
      <w:proofErr w:type="spellEnd"/>
      <w:r w:rsidRPr="00E727FB">
        <w:rPr>
          <w:rFonts w:ascii="Arial" w:hAnsi="Arial" w:cs="Arial"/>
          <w:i/>
        </w:rPr>
        <w:t xml:space="preserve"> </w:t>
      </w:r>
      <w:proofErr w:type="spellStart"/>
      <w:r w:rsidRPr="00E727FB">
        <w:rPr>
          <w:rFonts w:ascii="Arial" w:hAnsi="Arial" w:cs="Arial"/>
          <w:i/>
        </w:rPr>
        <w:t>Education</w:t>
      </w:r>
      <w:proofErr w:type="spellEnd"/>
      <w:r w:rsidRPr="00E727FB">
        <w:rPr>
          <w:rFonts w:ascii="Arial" w:hAnsi="Arial" w:cs="Arial"/>
        </w:rPr>
        <w:t xml:space="preserve">, </w:t>
      </w:r>
      <w:r w:rsidRPr="00E727FB">
        <w:rPr>
          <w:rFonts w:ascii="Arial" w:hAnsi="Arial" w:cs="Arial"/>
          <w:i/>
        </w:rPr>
        <w:t>34</w:t>
      </w:r>
      <w:r w:rsidRPr="00E727FB">
        <w:rPr>
          <w:rFonts w:ascii="Arial" w:hAnsi="Arial" w:cs="Arial"/>
        </w:rPr>
        <w:t>(3), 59-80.</w:t>
      </w:r>
    </w:p>
    <w:p w:rsidR="005075F2" w:rsidRPr="00E727FB" w:rsidRDefault="005075F2" w:rsidP="005075F2">
      <w:pPr>
        <w:jc w:val="both"/>
        <w:rPr>
          <w:rFonts w:ascii="Arial" w:hAnsi="Arial" w:cs="Arial"/>
        </w:rPr>
      </w:pPr>
    </w:p>
    <w:p w:rsidR="005075F2" w:rsidRPr="00E727FB" w:rsidRDefault="005075F2" w:rsidP="005075F2">
      <w:pPr>
        <w:jc w:val="both"/>
        <w:rPr>
          <w:rFonts w:ascii="Arial" w:hAnsi="Arial" w:cs="Arial"/>
        </w:rPr>
      </w:pPr>
      <w:r w:rsidRPr="00E727FB">
        <w:rPr>
          <w:rFonts w:ascii="Arial" w:hAnsi="Arial" w:cs="Arial"/>
        </w:rPr>
        <w:t>Ley General de Educación. Diario Oficial de la Federación, Ciudad de México, México, 19 de enero de 2018.</w:t>
      </w:r>
    </w:p>
    <w:p w:rsidR="005075F2" w:rsidRPr="00E727FB" w:rsidRDefault="005075F2" w:rsidP="005075F2">
      <w:pPr>
        <w:jc w:val="both"/>
        <w:rPr>
          <w:rFonts w:ascii="Arial" w:hAnsi="Arial" w:cs="Arial"/>
        </w:rPr>
      </w:pPr>
      <w:r w:rsidRPr="00E727FB">
        <w:rPr>
          <w:rFonts w:ascii="Arial" w:hAnsi="Arial" w:cs="Arial"/>
        </w:rPr>
        <w:t>Ley General de Salud. Diario Oficial de la Federación, Ciudad de México, México, 12 de julio de 2018.</w:t>
      </w:r>
    </w:p>
    <w:p w:rsidR="005075F2" w:rsidRPr="000328F2" w:rsidRDefault="005075F2" w:rsidP="005075F2">
      <w:pPr>
        <w:pStyle w:val="Sinespaciado"/>
        <w:jc w:val="both"/>
        <w:rPr>
          <w:rFonts w:ascii="Arial" w:hAnsi="Arial" w:cs="Arial"/>
          <w:lang w:val="en-US"/>
        </w:rPr>
      </w:pPr>
      <w:r w:rsidRPr="00E727FB">
        <w:rPr>
          <w:rFonts w:ascii="Arial" w:hAnsi="Arial" w:cs="Arial"/>
        </w:rPr>
        <w:t xml:space="preserve">Lozano, R. </w:t>
      </w:r>
      <w:r w:rsidRPr="00E727FB">
        <w:rPr>
          <w:rFonts w:ascii="Arial" w:hAnsi="Arial" w:cs="Arial"/>
          <w:i/>
        </w:rPr>
        <w:t xml:space="preserve"> et al.</w:t>
      </w:r>
      <w:r w:rsidRPr="00E727FB">
        <w:rPr>
          <w:rFonts w:ascii="Arial" w:hAnsi="Arial" w:cs="Arial"/>
        </w:rPr>
        <w:t xml:space="preserve"> (2013). La carga de enfermedad, lesiones, factores de riesgo y desafíos para el sistema de salud en México. </w:t>
      </w:r>
      <w:proofErr w:type="spellStart"/>
      <w:r w:rsidRPr="000328F2">
        <w:rPr>
          <w:rFonts w:ascii="Arial" w:hAnsi="Arial" w:cs="Arial"/>
          <w:i/>
          <w:lang w:val="en-US"/>
        </w:rPr>
        <w:t>Salud</w:t>
      </w:r>
      <w:proofErr w:type="spellEnd"/>
      <w:r w:rsidRPr="000328F2">
        <w:rPr>
          <w:rFonts w:ascii="Arial" w:hAnsi="Arial" w:cs="Arial"/>
          <w:i/>
          <w:lang w:val="en-US"/>
        </w:rPr>
        <w:t xml:space="preserve"> </w:t>
      </w:r>
      <w:proofErr w:type="spellStart"/>
      <w:r w:rsidRPr="000328F2">
        <w:rPr>
          <w:rFonts w:ascii="Arial" w:hAnsi="Arial" w:cs="Arial"/>
          <w:i/>
          <w:lang w:val="en-US"/>
        </w:rPr>
        <w:t>Pública</w:t>
      </w:r>
      <w:proofErr w:type="spellEnd"/>
      <w:r w:rsidRPr="000328F2">
        <w:rPr>
          <w:rFonts w:ascii="Arial" w:hAnsi="Arial" w:cs="Arial"/>
          <w:i/>
          <w:lang w:val="en-US"/>
        </w:rPr>
        <w:t xml:space="preserve"> de México</w:t>
      </w:r>
      <w:r w:rsidRPr="000328F2">
        <w:rPr>
          <w:rFonts w:ascii="Arial" w:hAnsi="Arial" w:cs="Arial"/>
          <w:lang w:val="en-US"/>
        </w:rPr>
        <w:t xml:space="preserve">, </w:t>
      </w:r>
      <w:r w:rsidRPr="000328F2">
        <w:rPr>
          <w:rFonts w:ascii="Arial" w:hAnsi="Arial" w:cs="Arial"/>
          <w:i/>
          <w:lang w:val="en-US"/>
        </w:rPr>
        <w:t>55</w:t>
      </w:r>
      <w:r w:rsidRPr="000328F2">
        <w:rPr>
          <w:rFonts w:ascii="Arial" w:hAnsi="Arial" w:cs="Arial"/>
          <w:lang w:val="en-US"/>
        </w:rPr>
        <w:t>(6), 580-594.</w:t>
      </w:r>
    </w:p>
    <w:p w:rsidR="005075F2" w:rsidRPr="00E727FB" w:rsidRDefault="005075F2" w:rsidP="005075F2">
      <w:pPr>
        <w:pStyle w:val="Sinespaciado"/>
        <w:jc w:val="both"/>
        <w:rPr>
          <w:rFonts w:ascii="Arial" w:hAnsi="Arial" w:cs="Arial"/>
          <w:lang w:val="en-US"/>
        </w:rPr>
      </w:pPr>
    </w:p>
    <w:p w:rsidR="005075F2" w:rsidRPr="00E727FB" w:rsidRDefault="005075F2" w:rsidP="005075F2">
      <w:pPr>
        <w:pStyle w:val="Sinespaciado"/>
        <w:jc w:val="both"/>
        <w:rPr>
          <w:rFonts w:ascii="Arial" w:hAnsi="Arial" w:cs="Arial"/>
        </w:rPr>
      </w:pPr>
      <w:proofErr w:type="spellStart"/>
      <w:r w:rsidRPr="00E727FB">
        <w:rPr>
          <w:rFonts w:ascii="Arial" w:hAnsi="Arial" w:cs="Arial"/>
          <w:lang w:val="en-US"/>
        </w:rPr>
        <w:t>Meara</w:t>
      </w:r>
      <w:proofErr w:type="spellEnd"/>
      <w:r w:rsidRPr="00E727FB">
        <w:rPr>
          <w:rFonts w:ascii="Arial" w:hAnsi="Arial" w:cs="Arial"/>
          <w:lang w:val="en-US"/>
        </w:rPr>
        <w:t>, J.</w:t>
      </w:r>
      <w:r w:rsidRPr="00E727FB">
        <w:rPr>
          <w:rFonts w:ascii="Arial" w:hAnsi="Arial" w:cs="Arial"/>
          <w:i/>
          <w:lang w:val="en-US"/>
        </w:rPr>
        <w:t>et al.</w:t>
      </w:r>
      <w:r w:rsidRPr="00E727FB">
        <w:rPr>
          <w:rFonts w:ascii="Arial" w:hAnsi="Arial" w:cs="Arial"/>
          <w:lang w:val="en-US"/>
        </w:rPr>
        <w:t xml:space="preserve"> (2015). Global Surgery 2030: Evidence and solutions for achieving </w:t>
      </w:r>
      <w:proofErr w:type="spellStart"/>
      <w:r w:rsidRPr="00E727FB">
        <w:rPr>
          <w:rFonts w:ascii="Arial" w:hAnsi="Arial" w:cs="Arial"/>
          <w:lang w:val="en-US"/>
        </w:rPr>
        <w:t>healt</w:t>
      </w:r>
      <w:proofErr w:type="spellEnd"/>
      <w:r w:rsidRPr="00E727FB">
        <w:rPr>
          <w:rFonts w:ascii="Arial" w:hAnsi="Arial" w:cs="Arial"/>
          <w:lang w:val="en-US"/>
        </w:rPr>
        <w:t xml:space="preserve">, welfare, and economic development. </w:t>
      </w:r>
      <w:proofErr w:type="spellStart"/>
      <w:r w:rsidRPr="00E727FB">
        <w:rPr>
          <w:rFonts w:ascii="Arial" w:hAnsi="Arial" w:cs="Arial"/>
          <w:i/>
        </w:rPr>
        <w:t>The</w:t>
      </w:r>
      <w:proofErr w:type="spellEnd"/>
      <w:r w:rsidRPr="00E727FB">
        <w:rPr>
          <w:rFonts w:ascii="Arial" w:hAnsi="Arial" w:cs="Arial"/>
          <w:i/>
        </w:rPr>
        <w:t xml:space="preserve"> </w:t>
      </w:r>
      <w:proofErr w:type="spellStart"/>
      <w:r w:rsidRPr="00E727FB">
        <w:rPr>
          <w:rFonts w:ascii="Arial" w:hAnsi="Arial" w:cs="Arial"/>
          <w:i/>
        </w:rPr>
        <w:t>Lancet</w:t>
      </w:r>
      <w:proofErr w:type="spellEnd"/>
      <w:r w:rsidRPr="00E727FB">
        <w:rPr>
          <w:rFonts w:ascii="Arial" w:hAnsi="Arial" w:cs="Arial"/>
        </w:rPr>
        <w:t xml:space="preserve">, </w:t>
      </w:r>
      <w:r w:rsidRPr="00E727FB">
        <w:rPr>
          <w:rFonts w:ascii="Arial" w:hAnsi="Arial" w:cs="Arial"/>
          <w:i/>
        </w:rPr>
        <w:t>386</w:t>
      </w:r>
      <w:r w:rsidRPr="00E727FB">
        <w:rPr>
          <w:rFonts w:ascii="Arial" w:hAnsi="Arial" w:cs="Arial"/>
        </w:rPr>
        <w:t>(9993), 569-624.</w:t>
      </w:r>
    </w:p>
    <w:p w:rsidR="005075F2" w:rsidRPr="00E727FB" w:rsidRDefault="005075F2" w:rsidP="005075F2">
      <w:pPr>
        <w:pStyle w:val="Sinespaciado"/>
        <w:jc w:val="both"/>
        <w:rPr>
          <w:rFonts w:ascii="Arial" w:hAnsi="Arial" w:cs="Arial"/>
        </w:rPr>
      </w:pPr>
      <w:r w:rsidRPr="00E727FB">
        <w:rPr>
          <w:rFonts w:ascii="Arial" w:hAnsi="Arial" w:cs="Arial"/>
        </w:rPr>
        <w:lastRenderedPageBreak/>
        <w:t xml:space="preserve">Mina, A. (2010). Evolución de la mortalidad: Pasado, presente y futuro.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 (</w:t>
      </w:r>
      <w:r w:rsidRPr="00E727FB">
        <w:rPr>
          <w:rFonts w:ascii="Arial" w:hAnsi="Arial" w:cs="Arial"/>
        </w:rPr>
        <w:t>pp.79-104)</w:t>
      </w:r>
      <w:r w:rsidRPr="00E727FB">
        <w:rPr>
          <w:rFonts w:ascii="Arial" w:hAnsi="Arial" w:cs="Arial"/>
          <w:i/>
        </w:rPr>
        <w:t>.</w:t>
      </w:r>
      <w:r w:rsidRPr="00E727FB">
        <w:rPr>
          <w:rFonts w:ascii="Arial" w:hAnsi="Arial" w:cs="Arial"/>
        </w:rPr>
        <w:t xml:space="preserve"> México: El Colegio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Negrete, M. (2003). El envejecimiento poblacional en la Ciudad de México: Evolución y pautas de distribución espacial entre 1970 y 2000. </w:t>
      </w:r>
      <w:r w:rsidRPr="00E727FB">
        <w:rPr>
          <w:rFonts w:ascii="Arial" w:hAnsi="Arial" w:cs="Arial"/>
          <w:i/>
        </w:rPr>
        <w:t>Papeles de Población</w:t>
      </w:r>
      <w:r w:rsidRPr="00E727FB">
        <w:rPr>
          <w:rFonts w:ascii="Arial" w:hAnsi="Arial" w:cs="Arial"/>
        </w:rPr>
        <w:t xml:space="preserve">, </w:t>
      </w:r>
      <w:r w:rsidRPr="00E727FB">
        <w:rPr>
          <w:rFonts w:ascii="Arial" w:hAnsi="Arial" w:cs="Arial"/>
          <w:i/>
        </w:rPr>
        <w:t>9</w:t>
      </w:r>
      <w:r w:rsidRPr="00E727FB">
        <w:rPr>
          <w:rFonts w:ascii="Arial" w:hAnsi="Arial" w:cs="Arial"/>
        </w:rPr>
        <w:t>(37), 107-127.</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Nigenda</w:t>
      </w:r>
      <w:proofErr w:type="spellEnd"/>
      <w:r w:rsidRPr="00E727FB">
        <w:rPr>
          <w:rFonts w:ascii="Arial" w:hAnsi="Arial" w:cs="Arial"/>
        </w:rPr>
        <w:t xml:space="preserve">, G. </w:t>
      </w:r>
      <w:r w:rsidRPr="00E727FB">
        <w:rPr>
          <w:rFonts w:ascii="Arial" w:hAnsi="Arial" w:cs="Arial"/>
          <w:i/>
        </w:rPr>
        <w:t>et al</w:t>
      </w:r>
      <w:r w:rsidRPr="00E727FB">
        <w:rPr>
          <w:rFonts w:ascii="Arial" w:hAnsi="Arial" w:cs="Arial"/>
        </w:rPr>
        <w:t xml:space="preserve">. (2016). Eficiencia de los recursos humanos en salud: Una aproximación a su análisis en México. </w:t>
      </w:r>
      <w:r w:rsidRPr="00E727FB">
        <w:rPr>
          <w:rFonts w:ascii="Arial" w:hAnsi="Arial" w:cs="Arial"/>
          <w:i/>
        </w:rPr>
        <w:t>Salud Pública de México</w:t>
      </w:r>
      <w:r w:rsidRPr="00E727FB">
        <w:rPr>
          <w:rFonts w:ascii="Arial" w:hAnsi="Arial" w:cs="Arial"/>
        </w:rPr>
        <w:t xml:space="preserve">, </w:t>
      </w:r>
      <w:r w:rsidRPr="00E727FB">
        <w:rPr>
          <w:rFonts w:ascii="Arial" w:hAnsi="Arial" w:cs="Arial"/>
          <w:i/>
        </w:rPr>
        <w:t>58</w:t>
      </w:r>
      <w:r w:rsidRPr="00E727FB">
        <w:rPr>
          <w:rFonts w:ascii="Arial" w:hAnsi="Arial" w:cs="Arial"/>
        </w:rPr>
        <w:t>(5), 533-542.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b/>
        </w:rPr>
      </w:pPr>
      <w:r w:rsidRPr="00E727FB">
        <w:rPr>
          <w:rFonts w:ascii="Arial" w:hAnsi="Arial" w:cs="Arial"/>
        </w:rPr>
        <w:t>Norma Oficial Mexicana NOM-001-SSA3-2012, Educación en salud. Para la organización y funcionamiento de residencias médicas.</w:t>
      </w:r>
      <w:r w:rsidRPr="00E727FB">
        <w:rPr>
          <w:rFonts w:ascii="Arial" w:hAnsi="Arial" w:cs="Arial"/>
          <w:b/>
        </w:rPr>
        <w:t xml:space="preserve"> </w:t>
      </w:r>
      <w:r w:rsidRPr="00E727FB">
        <w:rPr>
          <w:rFonts w:ascii="Arial" w:hAnsi="Arial" w:cs="Arial"/>
        </w:rPr>
        <w:t>Diario Oficial de la Federación, Ciudad de México, México, 04 de enero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NOM-004-SSA3-2012, Del expediente clínico. Diario Oficial de la Federación, Ciudad de México, México, 29 de junio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NOM-016-SSA3-2012, Que establece las características mínimas de infraestructura y equipamiento de hospitales y consultorios de atención médica especializada. Diario Oficial de la Federación, Ciudad de México, México, 08 de enero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NOM-017-SSA2-2012, Para la vigilancia epidemiológica.</w:t>
      </w:r>
      <w:r w:rsidRPr="00E727FB">
        <w:rPr>
          <w:rFonts w:ascii="Arial" w:hAnsi="Arial" w:cs="Arial"/>
          <w:b/>
        </w:rPr>
        <w:t xml:space="preserve"> </w:t>
      </w:r>
      <w:r w:rsidRPr="00E727FB">
        <w:rPr>
          <w:rFonts w:ascii="Arial" w:hAnsi="Arial" w:cs="Arial"/>
        </w:rPr>
        <w:t>Diario Oficial de la Federación, Ciudad de México, México, 19 de febrero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NOM-026-SSA3-2012, Para la práctica de la cirugía mayor ambulatoria. Diario Oficial de la Federación, Ciudad de México, México, 07 de agosto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b/>
        </w:rPr>
      </w:pPr>
      <w:r w:rsidRPr="005075F2">
        <w:rPr>
          <w:rFonts w:ascii="Arial" w:hAnsi="Arial" w:cs="Arial"/>
        </w:rPr>
        <w:t>Norma Oficial Mexicana NOM-027-SSA3-2013, Regulación de los servicios de salud. Que establece los criterios de funcionamiento y atención en los servicios de urgencias de los establecimientos para la atención médica. Diario Oficial de la Federación, Ciudad de México, México, 04 de septiembre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NOM-035-SSA3-2012, En materia de información en salud. Diario Oficial de la Federación, Ciudad de México, México, 30 de noviembre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0328F2">
        <w:rPr>
          <w:rFonts w:ascii="Arial" w:hAnsi="Arial" w:cs="Arial"/>
          <w:lang w:val="en-US"/>
        </w:rPr>
        <w:t xml:space="preserve">OCDE (2017). </w:t>
      </w:r>
      <w:r w:rsidRPr="00E727FB">
        <w:rPr>
          <w:rFonts w:ascii="Arial" w:hAnsi="Arial" w:cs="Arial"/>
          <w:i/>
          <w:lang w:val="en-US"/>
        </w:rPr>
        <w:t>Health at a Glance 2017: OECD Indicators</w:t>
      </w:r>
      <w:r w:rsidRPr="00E727FB">
        <w:rPr>
          <w:rFonts w:ascii="Arial" w:hAnsi="Arial" w:cs="Arial"/>
          <w:lang w:val="en-US"/>
        </w:rPr>
        <w:t xml:space="preserve">. </w:t>
      </w:r>
      <w:r w:rsidRPr="00E727FB">
        <w:rPr>
          <w:rFonts w:ascii="Arial" w:hAnsi="Arial" w:cs="Arial"/>
        </w:rPr>
        <w:t xml:space="preserve">Francia: OCDE Publicaciones.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Ordorica</w:t>
      </w:r>
      <w:proofErr w:type="spellEnd"/>
      <w:r w:rsidRPr="00E727FB">
        <w:rPr>
          <w:rFonts w:ascii="Arial" w:hAnsi="Arial" w:cs="Arial"/>
        </w:rPr>
        <w:t xml:space="preserve">, M. (2010). Las proyecciones de población hasta mitad del siglo XXI.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w:t>
      </w:r>
      <w:r w:rsidRPr="00E727FB">
        <w:rPr>
          <w:rFonts w:ascii="Arial" w:hAnsi="Arial" w:cs="Arial"/>
        </w:rPr>
        <w:t xml:space="preserve"> (pp.29-52). México: El Colegio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Ortiz, M. y L. Gerónimo (2008). El envejecimiento en México. Aspectos territoriales y repercusiones sociales. </w:t>
      </w:r>
      <w:r w:rsidRPr="00E727FB">
        <w:rPr>
          <w:rFonts w:ascii="Arial" w:hAnsi="Arial" w:cs="Arial"/>
          <w:i/>
        </w:rPr>
        <w:t>Trayectorias</w:t>
      </w:r>
      <w:r w:rsidRPr="00E727FB">
        <w:rPr>
          <w:rFonts w:ascii="Arial" w:hAnsi="Arial" w:cs="Arial"/>
        </w:rPr>
        <w:t xml:space="preserve">, </w:t>
      </w:r>
      <w:r w:rsidRPr="00E727FB">
        <w:rPr>
          <w:rFonts w:ascii="Arial" w:hAnsi="Arial" w:cs="Arial"/>
          <w:i/>
        </w:rPr>
        <w:t>10</w:t>
      </w:r>
      <w:r w:rsidRPr="00E727FB">
        <w:rPr>
          <w:rFonts w:ascii="Arial" w:hAnsi="Arial" w:cs="Arial"/>
        </w:rPr>
        <w:t>(26), 79-92.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Plancarte, R. y R. Carrillo (2015). Anestesiología. En Ruelas, E., </w:t>
      </w:r>
      <w:proofErr w:type="spellStart"/>
      <w:r w:rsidRPr="00E727FB">
        <w:rPr>
          <w:rFonts w:ascii="Arial" w:hAnsi="Arial" w:cs="Arial"/>
        </w:rPr>
        <w:t>Lifshitz</w:t>
      </w:r>
      <w:proofErr w:type="spellEnd"/>
      <w:r w:rsidRPr="00E727FB">
        <w:rPr>
          <w:rFonts w:ascii="Arial" w:hAnsi="Arial" w:cs="Arial"/>
        </w:rPr>
        <w:t>, A. y M. Mercado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Estado del Arte de la Medicina: 2013-2014 Cirugía</w:t>
      </w:r>
      <w:r w:rsidRPr="00E727FB">
        <w:rPr>
          <w:rFonts w:ascii="Arial" w:hAnsi="Arial" w:cs="Arial"/>
        </w:rPr>
        <w:t xml:space="preserve"> (pp. 1-12). México: Academia Nacional de Medicina de México y Consejo Nacional de Ciencia y Tecnología de México.</w:t>
      </w:r>
    </w:p>
    <w:p w:rsidR="005075F2" w:rsidRPr="000328F2" w:rsidRDefault="005075F2" w:rsidP="005075F2">
      <w:pPr>
        <w:pStyle w:val="Sinespaciado"/>
        <w:jc w:val="both"/>
        <w:rPr>
          <w:rFonts w:ascii="Arial" w:hAnsi="Arial" w:cs="Arial"/>
        </w:rPr>
      </w:pPr>
    </w:p>
    <w:p w:rsidR="005075F2" w:rsidRPr="000328F2" w:rsidRDefault="005075F2" w:rsidP="005075F2">
      <w:pPr>
        <w:pStyle w:val="Sinespaciado"/>
        <w:jc w:val="both"/>
        <w:rPr>
          <w:rFonts w:ascii="Arial" w:hAnsi="Arial" w:cs="Arial"/>
        </w:rPr>
      </w:pPr>
      <w:proofErr w:type="spellStart"/>
      <w:r w:rsidRPr="00E727FB">
        <w:rPr>
          <w:rFonts w:ascii="Arial" w:hAnsi="Arial" w:cs="Arial"/>
          <w:lang w:val="en-US"/>
        </w:rPr>
        <w:lastRenderedPageBreak/>
        <w:t>Querido</w:t>
      </w:r>
      <w:proofErr w:type="spellEnd"/>
      <w:r w:rsidRPr="00E727FB">
        <w:rPr>
          <w:rFonts w:ascii="Arial" w:hAnsi="Arial" w:cs="Arial"/>
          <w:lang w:val="en-US"/>
        </w:rPr>
        <w:t xml:space="preserve">, S. </w:t>
      </w:r>
      <w:r w:rsidRPr="00E727FB">
        <w:rPr>
          <w:rFonts w:ascii="Arial" w:hAnsi="Arial" w:cs="Arial"/>
          <w:i/>
          <w:lang w:val="en-US"/>
        </w:rPr>
        <w:t>et al.</w:t>
      </w:r>
      <w:r w:rsidRPr="00E727FB">
        <w:rPr>
          <w:rFonts w:ascii="Arial" w:hAnsi="Arial" w:cs="Arial"/>
          <w:lang w:val="en-US"/>
        </w:rPr>
        <w:t xml:space="preserve"> (2016). Dynamics of career choice among students in undergraduate medical courses. </w:t>
      </w:r>
      <w:r w:rsidRPr="000328F2">
        <w:rPr>
          <w:rFonts w:ascii="Arial" w:hAnsi="Arial" w:cs="Arial"/>
        </w:rPr>
        <w:t xml:space="preserve">A BEME </w:t>
      </w:r>
      <w:proofErr w:type="spellStart"/>
      <w:r w:rsidRPr="000328F2">
        <w:rPr>
          <w:rFonts w:ascii="Arial" w:hAnsi="Arial" w:cs="Arial"/>
        </w:rPr>
        <w:t>systematic</w:t>
      </w:r>
      <w:proofErr w:type="spellEnd"/>
      <w:r w:rsidRPr="000328F2">
        <w:rPr>
          <w:rFonts w:ascii="Arial" w:hAnsi="Arial" w:cs="Arial"/>
        </w:rPr>
        <w:t xml:space="preserve"> </w:t>
      </w:r>
      <w:proofErr w:type="spellStart"/>
      <w:r w:rsidRPr="000328F2">
        <w:rPr>
          <w:rFonts w:ascii="Arial" w:hAnsi="Arial" w:cs="Arial"/>
        </w:rPr>
        <w:t>review</w:t>
      </w:r>
      <w:proofErr w:type="spellEnd"/>
      <w:r w:rsidRPr="000328F2">
        <w:rPr>
          <w:rFonts w:ascii="Arial" w:hAnsi="Arial" w:cs="Arial"/>
        </w:rPr>
        <w:t xml:space="preserve">: BEME </w:t>
      </w:r>
      <w:proofErr w:type="spellStart"/>
      <w:r w:rsidRPr="000328F2">
        <w:rPr>
          <w:rFonts w:ascii="Arial" w:hAnsi="Arial" w:cs="Arial"/>
        </w:rPr>
        <w:t>Guide</w:t>
      </w:r>
      <w:proofErr w:type="spellEnd"/>
      <w:r w:rsidRPr="000328F2">
        <w:rPr>
          <w:rFonts w:ascii="Arial" w:hAnsi="Arial" w:cs="Arial"/>
        </w:rPr>
        <w:t xml:space="preserve"> No. 33. </w:t>
      </w:r>
      <w:r w:rsidRPr="000328F2">
        <w:rPr>
          <w:rFonts w:ascii="Arial" w:hAnsi="Arial" w:cs="Arial"/>
          <w:i/>
        </w:rPr>
        <w:t xml:space="preserve">Medical </w:t>
      </w:r>
      <w:proofErr w:type="spellStart"/>
      <w:r w:rsidRPr="000328F2">
        <w:rPr>
          <w:rFonts w:ascii="Arial" w:hAnsi="Arial" w:cs="Arial"/>
          <w:i/>
        </w:rPr>
        <w:t>Teacher</w:t>
      </w:r>
      <w:proofErr w:type="spellEnd"/>
      <w:r w:rsidRPr="000328F2">
        <w:rPr>
          <w:rFonts w:ascii="Arial" w:hAnsi="Arial" w:cs="Arial"/>
        </w:rPr>
        <w:t xml:space="preserve">, </w:t>
      </w:r>
      <w:r w:rsidRPr="000328F2">
        <w:rPr>
          <w:rFonts w:ascii="Arial" w:hAnsi="Arial" w:cs="Arial"/>
          <w:i/>
        </w:rPr>
        <w:t>38</w:t>
      </w:r>
      <w:r w:rsidRPr="000328F2">
        <w:rPr>
          <w:rFonts w:ascii="Arial" w:hAnsi="Arial" w:cs="Arial"/>
        </w:rPr>
        <w:t>(1), 18-29.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Rodríguez, R. (1989) Metodología para el análisis demográfico de la eficiencia terminal, la deserción y el rezago escolar. En Santoyo, R. (Coord.), </w:t>
      </w:r>
      <w:r w:rsidRPr="00E727FB">
        <w:rPr>
          <w:rFonts w:ascii="Arial" w:hAnsi="Arial" w:cs="Arial"/>
          <w:i/>
        </w:rPr>
        <w:t>La trayectoria escolar en la educación superior. Panorámica de la investigación y acercamientos metodológicos</w:t>
      </w:r>
      <w:r w:rsidRPr="00E727FB">
        <w:rPr>
          <w:rFonts w:ascii="Arial" w:hAnsi="Arial" w:cs="Arial"/>
        </w:rPr>
        <w:t xml:space="preserve"> (pp. 225-280). México: ANUIES.</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Ruelas, E. y A. Alonso (2015). Imágenes generales sobre la posible evolución futura de las especialidades médicas. En Ruelas, E. y A. Alonso (Eds.), </w:t>
      </w:r>
      <w:r w:rsidRPr="00E727FB">
        <w:rPr>
          <w:rFonts w:ascii="Arial" w:hAnsi="Arial" w:cs="Arial"/>
          <w:i/>
        </w:rPr>
        <w:t>Futuros de las especialidades médicas en México</w:t>
      </w:r>
      <w:r w:rsidRPr="00E727FB">
        <w:rPr>
          <w:rFonts w:ascii="Arial" w:hAnsi="Arial" w:cs="Arial"/>
        </w:rPr>
        <w:t xml:space="preserve"> (pp. 105-122). México: Academia Nacional de Medicina de México y Consejo Nacional de Ciencia y Tecnología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Sánchez, D. (2007). Envejecimiento demográfico urbano y sus repercusiones </w:t>
      </w:r>
      <w:proofErr w:type="spellStart"/>
      <w:r w:rsidRPr="00E727FB">
        <w:rPr>
          <w:rFonts w:ascii="Arial" w:hAnsi="Arial" w:cs="Arial"/>
        </w:rPr>
        <w:t>socioespaciales</w:t>
      </w:r>
      <w:proofErr w:type="spellEnd"/>
      <w:r w:rsidRPr="00E727FB">
        <w:rPr>
          <w:rFonts w:ascii="Arial" w:hAnsi="Arial" w:cs="Arial"/>
        </w:rPr>
        <w:t xml:space="preserve"> en México. Retos de la planeación gerontológica. </w:t>
      </w:r>
      <w:r w:rsidRPr="00E727FB">
        <w:rPr>
          <w:rFonts w:ascii="Arial" w:hAnsi="Arial" w:cs="Arial"/>
          <w:i/>
        </w:rPr>
        <w:t>Revista de Geografía Norte Grande</w:t>
      </w:r>
      <w:r w:rsidRPr="00E727FB">
        <w:rPr>
          <w:rFonts w:ascii="Arial" w:hAnsi="Arial" w:cs="Arial"/>
        </w:rPr>
        <w:t>, 38, 45-61.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Santacruz, J. </w:t>
      </w:r>
      <w:r w:rsidRPr="00E727FB">
        <w:rPr>
          <w:rFonts w:ascii="Arial" w:hAnsi="Arial" w:cs="Arial"/>
          <w:i/>
        </w:rPr>
        <w:t xml:space="preserve"> et al.</w:t>
      </w:r>
      <w:r w:rsidRPr="00E727FB">
        <w:rPr>
          <w:rFonts w:ascii="Arial" w:hAnsi="Arial" w:cs="Arial"/>
        </w:rPr>
        <w:t xml:space="preserve"> (2015). Metodología para estimar el número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71-152). México: Academia Nacional de Medicina de México y Consejo Nacional de Ciencia y Tecnología.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Secretaria de Salud (2017). </w:t>
      </w:r>
      <w:r w:rsidRPr="00E727FB">
        <w:rPr>
          <w:rFonts w:ascii="Arial" w:hAnsi="Arial" w:cs="Arial"/>
          <w:i/>
        </w:rPr>
        <w:t>Boletín de Información Estadística No. 36 Año 2016. Volumen III. Servicios otorgados y programas sustantivos.</w:t>
      </w:r>
      <w:r w:rsidRPr="00E727FB">
        <w:rPr>
          <w:rFonts w:ascii="Arial" w:hAnsi="Arial" w:cs="Arial"/>
        </w:rPr>
        <w:t xml:space="preserve"> [En línea]. http://www.dgis.salud.gob.mx/contenidos/publicaciones/p_bie_gobmx.html [Consulta el 01 de marzo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(2019). </w:t>
      </w:r>
      <w:r w:rsidRPr="00E727FB">
        <w:rPr>
          <w:rFonts w:ascii="Arial" w:hAnsi="Arial" w:cs="Arial"/>
          <w:i/>
        </w:rPr>
        <w:t>Recursos en Salud 2017</w:t>
      </w:r>
      <w:r w:rsidRPr="00E727FB">
        <w:rPr>
          <w:rFonts w:ascii="Arial" w:hAnsi="Arial" w:cs="Arial"/>
        </w:rPr>
        <w:t xml:space="preserve">. [En línea].  https://datos.gob.mx/busca/dataset/recursos-en-salud-nivel-central [Consulta el 28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(s.f. a) </w:t>
      </w:r>
      <w:r w:rsidRPr="00E727FB">
        <w:rPr>
          <w:rFonts w:ascii="Arial" w:hAnsi="Arial" w:cs="Arial"/>
          <w:i/>
        </w:rPr>
        <w:t>Registro de egresos hospitalarios 2017</w:t>
      </w:r>
      <w:r w:rsidRPr="00E727FB">
        <w:rPr>
          <w:rFonts w:ascii="Arial" w:hAnsi="Arial" w:cs="Arial"/>
        </w:rPr>
        <w:t xml:space="preserve">. </w:t>
      </w:r>
      <w:r w:rsidRPr="00E727FB">
        <w:rPr>
          <w:rFonts w:ascii="Arial" w:hAnsi="Arial" w:cs="Arial"/>
          <w:i/>
        </w:rPr>
        <w:t>Procedimientos.</w:t>
      </w:r>
      <w:r w:rsidRPr="00E727FB">
        <w:rPr>
          <w:rFonts w:ascii="Arial" w:hAnsi="Arial" w:cs="Arial"/>
        </w:rPr>
        <w:t xml:space="preserve"> [En línea]. http://www.dgis.salud.gob.mx/contenidos/basesdedatos/da_egresoshosp_gobmx.html [Consulta el 05 de marzo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(s.f.). </w:t>
      </w:r>
      <w:r w:rsidRPr="00E727FB">
        <w:rPr>
          <w:rFonts w:ascii="Arial" w:hAnsi="Arial" w:cs="Arial"/>
          <w:i/>
        </w:rPr>
        <w:t>Anuario de Morbilidad de México, 1984-2017</w:t>
      </w:r>
      <w:r w:rsidRPr="00E727FB">
        <w:rPr>
          <w:rFonts w:ascii="Arial" w:hAnsi="Arial" w:cs="Arial"/>
        </w:rPr>
        <w:t xml:space="preserve">. [En línea]. http://187.191.75.115/anuario/html/morbilidad_nacional.html [Consulta el 14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Solís, P. (1999). El ingreso a la cuarta edad en México: Una aproximación a su intensidad, calendario e implicaciones en el apoyo familiar y social de los ancianos. </w:t>
      </w:r>
      <w:r w:rsidRPr="00E727FB">
        <w:rPr>
          <w:rFonts w:ascii="Arial" w:hAnsi="Arial" w:cs="Arial"/>
          <w:i/>
        </w:rPr>
        <w:t>Papeles de Población</w:t>
      </w:r>
      <w:r w:rsidRPr="00E727FB">
        <w:rPr>
          <w:rFonts w:ascii="Arial" w:hAnsi="Arial" w:cs="Arial"/>
        </w:rPr>
        <w:t xml:space="preserve">, </w:t>
      </w:r>
      <w:r w:rsidRPr="00E727FB">
        <w:rPr>
          <w:rFonts w:ascii="Arial" w:hAnsi="Arial" w:cs="Arial"/>
          <w:i/>
        </w:rPr>
        <w:t>5</w:t>
      </w:r>
      <w:r w:rsidRPr="00E727FB">
        <w:rPr>
          <w:rFonts w:ascii="Arial" w:hAnsi="Arial" w:cs="Arial"/>
        </w:rPr>
        <w:t>(19), 43-63.</w:t>
      </w:r>
    </w:p>
    <w:p w:rsidR="005075F2" w:rsidRPr="00E727FB" w:rsidRDefault="005075F2" w:rsidP="005075F2">
      <w:pPr>
        <w:pStyle w:val="Sinespaciado"/>
        <w:jc w:val="both"/>
        <w:rPr>
          <w:rFonts w:ascii="Arial" w:hAnsi="Arial" w:cs="Arial"/>
        </w:rPr>
      </w:pPr>
    </w:p>
    <w:p w:rsidR="005075F2" w:rsidRPr="00E727FB" w:rsidRDefault="005075F2" w:rsidP="005075F2">
      <w:pPr>
        <w:pStyle w:val="Textonotapie"/>
        <w:jc w:val="both"/>
        <w:rPr>
          <w:rFonts w:ascii="Arial" w:hAnsi="Arial" w:cs="Arial"/>
          <w:sz w:val="22"/>
          <w:szCs w:val="22"/>
        </w:rPr>
      </w:pPr>
    </w:p>
    <w:p w:rsidR="00FF7B92" w:rsidRPr="001547A7" w:rsidRDefault="00FF7B92" w:rsidP="00FF7B92">
      <w:pPr>
        <w:pStyle w:val="Sinespaciado"/>
        <w:spacing w:line="360" w:lineRule="auto"/>
        <w:jc w:val="both"/>
        <w:rPr>
          <w:rFonts w:ascii="Arial" w:hAnsi="Arial" w:cs="Arial"/>
        </w:rPr>
      </w:pPr>
    </w:p>
    <w:sectPr w:rsidR="00FF7B92" w:rsidRPr="001547A7" w:rsidSect="000463A7">
      <w:footerReference w:type="even" r:id="rId32"/>
      <w:footerReference w:type="default" r:id="rId33"/>
      <w:footerReference w:type="first" r:id="rId34"/>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4C0A" w:rsidRDefault="00B84C0A" w:rsidP="000E19B0">
      <w:pPr>
        <w:spacing w:after="0" w:line="240" w:lineRule="auto"/>
      </w:pPr>
      <w:r>
        <w:separator/>
      </w:r>
    </w:p>
  </w:endnote>
  <w:endnote w:type="continuationSeparator" w:id="0">
    <w:p w:rsidR="00B84C0A" w:rsidRDefault="00B84C0A"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ndivisa Text Sans">
    <w:altName w:val="Arial"/>
    <w:panose1 w:val="00000000000000000000"/>
    <w:charset w:val="00"/>
    <w:family w:val="modern"/>
    <w:notTrueType/>
    <w:pitch w:val="variable"/>
    <w:sig w:usb0="00000001"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6103639"/>
      <w:docPartObj>
        <w:docPartGallery w:val="Page Numbers (Bottom of Page)"/>
        <w:docPartUnique/>
      </w:docPartObj>
    </w:sdtPr>
    <w:sdtEndPr>
      <w:rPr>
        <w:rFonts w:ascii="Arial" w:hAnsi="Arial" w:cs="Arial"/>
      </w:rPr>
    </w:sdtEndPr>
    <w:sdtContent>
      <w:p w:rsidR="00AA6A2C" w:rsidRPr="000463A7" w:rsidRDefault="00AA6A2C">
        <w:pPr>
          <w:pStyle w:val="Piedepgina"/>
          <w:rPr>
            <w:rFonts w:ascii="Arial" w:hAnsi="Arial" w:cs="Arial"/>
          </w:rPr>
        </w:pPr>
        <w:r w:rsidRPr="000463A7">
          <w:rPr>
            <w:rFonts w:ascii="Arial" w:hAnsi="Arial" w:cs="Arial"/>
          </w:rPr>
          <w:fldChar w:fldCharType="begin"/>
        </w:r>
        <w:r w:rsidRPr="000463A7">
          <w:rPr>
            <w:rFonts w:ascii="Arial" w:hAnsi="Arial" w:cs="Arial"/>
          </w:rPr>
          <w:instrText>PAGE   \* MERGEFORMAT</w:instrText>
        </w:r>
        <w:r w:rsidRPr="000463A7">
          <w:rPr>
            <w:rFonts w:ascii="Arial" w:hAnsi="Arial" w:cs="Arial"/>
          </w:rPr>
          <w:fldChar w:fldCharType="separate"/>
        </w:r>
        <w:r w:rsidR="00993DF6" w:rsidRPr="00993DF6">
          <w:rPr>
            <w:rFonts w:ascii="Arial" w:hAnsi="Arial" w:cs="Arial"/>
            <w:noProof/>
            <w:lang w:val="es-ES"/>
          </w:rPr>
          <w:t>62</w:t>
        </w:r>
        <w:r w:rsidRPr="000463A7">
          <w:rPr>
            <w:rFonts w:ascii="Arial" w:hAnsi="Arial" w:cs="Arial"/>
          </w:rPr>
          <w:fldChar w:fldCharType="end"/>
        </w:r>
      </w:p>
    </w:sdtContent>
  </w:sdt>
  <w:p w:rsidR="00AA6A2C" w:rsidRDefault="00AA6A2C">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7780177"/>
      <w:docPartObj>
        <w:docPartGallery w:val="Page Numbers (Bottom of Page)"/>
        <w:docPartUnique/>
      </w:docPartObj>
    </w:sdtPr>
    <w:sdtEndPr>
      <w:rPr>
        <w:rFonts w:ascii="Arial" w:hAnsi="Arial" w:cs="Arial"/>
      </w:rPr>
    </w:sdtEndPr>
    <w:sdtContent>
      <w:p w:rsidR="00AA6A2C" w:rsidRPr="00926F11" w:rsidRDefault="00AA6A2C">
        <w:pPr>
          <w:pStyle w:val="Piedepgina"/>
          <w:jc w:val="right"/>
          <w:rPr>
            <w:rFonts w:ascii="Arial" w:hAnsi="Arial" w:cs="Arial"/>
          </w:rPr>
        </w:pPr>
        <w:r w:rsidRPr="00926F11">
          <w:rPr>
            <w:rFonts w:ascii="Arial" w:hAnsi="Arial" w:cs="Arial"/>
          </w:rPr>
          <w:fldChar w:fldCharType="begin"/>
        </w:r>
        <w:r w:rsidRPr="00926F11">
          <w:rPr>
            <w:rFonts w:ascii="Arial" w:hAnsi="Arial" w:cs="Arial"/>
          </w:rPr>
          <w:instrText>PAGE   \* MERGEFORMAT</w:instrText>
        </w:r>
        <w:r w:rsidRPr="00926F11">
          <w:rPr>
            <w:rFonts w:ascii="Arial" w:hAnsi="Arial" w:cs="Arial"/>
          </w:rPr>
          <w:fldChar w:fldCharType="separate"/>
        </w:r>
        <w:r w:rsidR="00993DF6" w:rsidRPr="00993DF6">
          <w:rPr>
            <w:rFonts w:ascii="Arial" w:hAnsi="Arial" w:cs="Arial"/>
            <w:noProof/>
            <w:lang w:val="es-ES"/>
          </w:rPr>
          <w:t>61</w:t>
        </w:r>
        <w:r w:rsidRPr="00926F11">
          <w:rPr>
            <w:rFonts w:ascii="Arial" w:hAnsi="Arial" w:cs="Arial"/>
          </w:rPr>
          <w:fldChar w:fldCharType="end"/>
        </w:r>
      </w:p>
    </w:sdtContent>
  </w:sdt>
  <w:p w:rsidR="00AA6A2C" w:rsidRDefault="00AA6A2C">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6A2C" w:rsidRPr="000463A7" w:rsidRDefault="00AA6A2C">
    <w:pPr>
      <w:pStyle w:val="Piedepgina"/>
      <w:jc w:val="right"/>
      <w:rPr>
        <w:rFonts w:ascii="Arial" w:hAnsi="Arial" w:cs="Arial"/>
      </w:rPr>
    </w:pPr>
  </w:p>
  <w:p w:rsidR="00AA6A2C" w:rsidRDefault="00AA6A2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4C0A" w:rsidRDefault="00B84C0A" w:rsidP="000E19B0">
      <w:pPr>
        <w:spacing w:after="0" w:line="240" w:lineRule="auto"/>
      </w:pPr>
      <w:r>
        <w:separator/>
      </w:r>
    </w:p>
  </w:footnote>
  <w:footnote w:type="continuationSeparator" w:id="0">
    <w:p w:rsidR="00B84C0A" w:rsidRDefault="00B84C0A" w:rsidP="000E19B0">
      <w:pPr>
        <w:spacing w:after="0" w:line="240" w:lineRule="auto"/>
      </w:pPr>
      <w:r>
        <w:continuationSeparator/>
      </w:r>
    </w:p>
  </w:footnote>
  <w:footnote w:id="1">
    <w:p w:rsidR="00AA6A2C" w:rsidRPr="003C138F" w:rsidRDefault="00AA6A2C" w:rsidP="00A24941">
      <w:pPr>
        <w:autoSpaceDE w:val="0"/>
        <w:autoSpaceDN w:val="0"/>
        <w:adjustRightInd w:val="0"/>
        <w:spacing w:after="0" w:line="240" w:lineRule="auto"/>
        <w:ind w:left="142" w:hanging="142"/>
        <w:jc w:val="both"/>
        <w:rPr>
          <w:rFonts w:ascii="Arial" w:hAnsi="Arial" w:cs="Arial"/>
          <w:sz w:val="18"/>
          <w:szCs w:val="18"/>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3C138F">
        <w:rPr>
          <w:rFonts w:ascii="Arial" w:hAnsi="Arial" w:cs="Arial"/>
          <w:sz w:val="18"/>
          <w:szCs w:val="18"/>
        </w:rPr>
        <w:t xml:space="preserve">Es reconocido el papel pionero de la Escuela de Medicina de la Universidad </w:t>
      </w:r>
      <w:proofErr w:type="spellStart"/>
      <w:r w:rsidRPr="003C138F">
        <w:rPr>
          <w:rFonts w:ascii="Arial" w:hAnsi="Arial" w:cs="Arial"/>
          <w:sz w:val="18"/>
          <w:szCs w:val="18"/>
        </w:rPr>
        <w:t>McMaster</w:t>
      </w:r>
      <w:proofErr w:type="spellEnd"/>
      <w:r w:rsidRPr="003C138F">
        <w:rPr>
          <w:rFonts w:ascii="Arial" w:hAnsi="Arial" w:cs="Arial"/>
          <w:sz w:val="18"/>
          <w:szCs w:val="18"/>
        </w:rPr>
        <w:t xml:space="preserve">, de Canadá, así como el liderazgo e influencia de instituciones como Harvard Business </w:t>
      </w:r>
      <w:proofErr w:type="spellStart"/>
      <w:r w:rsidRPr="003C138F">
        <w:rPr>
          <w:rFonts w:ascii="Arial" w:hAnsi="Arial" w:cs="Arial"/>
          <w:sz w:val="18"/>
          <w:szCs w:val="18"/>
        </w:rPr>
        <w:t>School</w:t>
      </w:r>
      <w:proofErr w:type="spellEnd"/>
      <w:r w:rsidRPr="003C138F">
        <w:rPr>
          <w:rFonts w:ascii="Arial" w:hAnsi="Arial" w:cs="Arial"/>
          <w:sz w:val="18"/>
          <w:szCs w:val="18"/>
        </w:rPr>
        <w:t xml:space="preserve"> y Harvard Medical </w:t>
      </w:r>
      <w:proofErr w:type="spellStart"/>
      <w:r w:rsidRPr="003C138F">
        <w:rPr>
          <w:rFonts w:ascii="Arial" w:hAnsi="Arial" w:cs="Arial"/>
          <w:sz w:val="18"/>
          <w:szCs w:val="18"/>
        </w:rPr>
        <w:t>School</w:t>
      </w:r>
      <w:proofErr w:type="spellEnd"/>
      <w:r w:rsidRPr="003C138F">
        <w:rPr>
          <w:rFonts w:ascii="Arial" w:hAnsi="Arial" w:cs="Arial"/>
          <w:sz w:val="18"/>
          <w:szCs w:val="18"/>
        </w:rPr>
        <w:t>.</w:t>
      </w:r>
    </w:p>
  </w:footnote>
  <w:footnote w:id="2">
    <w:p w:rsidR="00AA6A2C" w:rsidRPr="003C138F" w:rsidRDefault="00AA6A2C"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De acuerdo con </w:t>
      </w:r>
      <w:proofErr w:type="spellStart"/>
      <w:r w:rsidRPr="003C138F">
        <w:rPr>
          <w:rFonts w:ascii="Arial" w:hAnsi="Arial" w:cs="Arial"/>
          <w:sz w:val="18"/>
          <w:szCs w:val="18"/>
        </w:rPr>
        <w:t>Knoll</w:t>
      </w:r>
      <w:proofErr w:type="spellEnd"/>
      <w:r w:rsidRPr="003C138F">
        <w:rPr>
          <w:rFonts w:ascii="Arial" w:hAnsi="Arial" w:cs="Arial"/>
          <w:sz w:val="18"/>
          <w:szCs w:val="18"/>
        </w:rPr>
        <w:t xml:space="preserve">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AA6A2C" w:rsidRPr="003C138F" w:rsidRDefault="00AA6A2C"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Tiene su origen en la Universidad de Harvard (aproximadamente en 1914), con el fin de que los estudiantes de Derecho, en el aprendizaje de las leyes, se enfrentaran a </w:t>
      </w:r>
      <w:r w:rsidRPr="003C138F">
        <w:rPr>
          <w:rFonts w:ascii="Arial" w:hAnsi="Arial" w:cs="Arial"/>
          <w:bCs/>
          <w:sz w:val="18"/>
          <w:szCs w:val="18"/>
        </w:rPr>
        <w:t>situaciones reales</w:t>
      </w:r>
      <w:r w:rsidRPr="003C138F">
        <w:rPr>
          <w:rFonts w:ascii="Arial" w:hAnsi="Arial" w:cs="Arial"/>
          <w:b/>
          <w:bCs/>
          <w:sz w:val="18"/>
          <w:szCs w:val="18"/>
        </w:rPr>
        <w:t xml:space="preserve"> </w:t>
      </w:r>
      <w:r w:rsidRPr="003C138F">
        <w:rPr>
          <w:rFonts w:ascii="Arial" w:hAnsi="Arial" w:cs="Arial"/>
          <w:sz w:val="18"/>
          <w:szCs w:val="18"/>
        </w:rPr>
        <w:t>y tuvieran que tomar decisiones, valorar actuaciones, emitir juicios fundamentados.</w:t>
      </w:r>
    </w:p>
  </w:footnote>
  <w:footnote w:id="4">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A. (2010). Evolución de la mortalidad: pasado, presente y futuro. </w:t>
      </w:r>
      <w:r w:rsidRPr="00295687">
        <w:rPr>
          <w:rFonts w:ascii="Arial" w:hAnsi="Arial" w:cs="Arial"/>
          <w:i/>
          <w:sz w:val="18"/>
          <w:szCs w:val="18"/>
        </w:rPr>
        <w:t>Los grandes problemas de México. Población (</w:t>
      </w:r>
      <w:r w:rsidRPr="00295687">
        <w:rPr>
          <w:rFonts w:ascii="Arial" w:hAnsi="Arial" w:cs="Arial"/>
          <w:sz w:val="18"/>
          <w:szCs w:val="18"/>
        </w:rPr>
        <w:t>pp.79-104)</w:t>
      </w:r>
      <w:r w:rsidRPr="00295687">
        <w:rPr>
          <w:rFonts w:ascii="Arial" w:hAnsi="Arial" w:cs="Arial"/>
          <w:i/>
          <w:sz w:val="18"/>
          <w:szCs w:val="18"/>
        </w:rPr>
        <w:t>.</w:t>
      </w:r>
      <w:r w:rsidRPr="00295687">
        <w:rPr>
          <w:rFonts w:ascii="Arial" w:hAnsi="Arial" w:cs="Arial"/>
          <w:sz w:val="18"/>
          <w:szCs w:val="18"/>
        </w:rPr>
        <w:t xml:space="preserve">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5">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Cárdenas, R. (2010). Desafíos de la atención a la salud. </w:t>
      </w:r>
      <w:r w:rsidRPr="00295687">
        <w:rPr>
          <w:rFonts w:ascii="Arial" w:hAnsi="Arial" w:cs="Arial"/>
          <w:i/>
          <w:sz w:val="18"/>
          <w:szCs w:val="18"/>
        </w:rPr>
        <w:t>Los grandes problemas de México. Población (</w:t>
      </w:r>
      <w:r w:rsidRPr="00295687">
        <w:rPr>
          <w:rFonts w:ascii="Arial" w:hAnsi="Arial" w:cs="Arial"/>
          <w:sz w:val="18"/>
          <w:szCs w:val="18"/>
        </w:rPr>
        <w:t>pp.105-136)</w:t>
      </w:r>
      <w:r w:rsidRPr="00295687">
        <w:rPr>
          <w:rFonts w:ascii="Arial" w:hAnsi="Arial" w:cs="Arial"/>
          <w:i/>
          <w:sz w:val="18"/>
          <w:szCs w:val="18"/>
        </w:rPr>
        <w:t>.</w:t>
      </w:r>
      <w:r w:rsidRPr="00295687">
        <w:rPr>
          <w:rFonts w:ascii="Arial" w:hAnsi="Arial" w:cs="Arial"/>
          <w:sz w:val="18"/>
          <w:szCs w:val="18"/>
        </w:rPr>
        <w:t xml:space="preserve">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6">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Proyecciones de población de México y de las entidades federativas 2016-2050. Consultado el 1/02/2019 de http://www.conapo.gob.mx.</w:t>
      </w:r>
    </w:p>
  </w:footnote>
  <w:footnote w:id="7">
    <w:p w:rsidR="00AA6A2C" w:rsidRPr="00295687" w:rsidRDefault="00AA6A2C"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r w:rsidRPr="00295687">
        <w:rPr>
          <w:rFonts w:ascii="Arial" w:hAnsi="Arial" w:cs="Arial"/>
          <w:i/>
          <w:sz w:val="18"/>
          <w:szCs w:val="18"/>
        </w:rPr>
        <w:t>Ibídem</w:t>
      </w:r>
      <w:r w:rsidRPr="00295687">
        <w:rPr>
          <w:rFonts w:ascii="Arial" w:hAnsi="Arial" w:cs="Arial"/>
          <w:sz w:val="18"/>
          <w:szCs w:val="18"/>
        </w:rPr>
        <w:t>.</w:t>
      </w:r>
    </w:p>
  </w:footnote>
  <w:footnote w:id="8">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Ortiz, M., Gerónimo, L. (2008). El envejecimiento en México. Aspectos territoriales y repercusiones sociales. </w:t>
      </w:r>
      <w:r w:rsidRPr="00295687">
        <w:rPr>
          <w:rFonts w:ascii="Arial" w:hAnsi="Arial" w:cs="Arial"/>
          <w:i/>
          <w:sz w:val="18"/>
          <w:szCs w:val="18"/>
        </w:rPr>
        <w:t>Trayectorias</w:t>
      </w:r>
      <w:r w:rsidRPr="00295687">
        <w:rPr>
          <w:rFonts w:ascii="Arial" w:hAnsi="Arial" w:cs="Arial"/>
          <w:sz w:val="18"/>
          <w:szCs w:val="18"/>
        </w:rPr>
        <w:t>, 10(26), pp. 79-92.</w:t>
      </w:r>
    </w:p>
  </w:footnote>
  <w:footnote w:id="9">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w:t>
      </w:r>
      <w:proofErr w:type="spellStart"/>
      <w:r w:rsidRPr="00295687">
        <w:rPr>
          <w:rFonts w:ascii="Arial" w:hAnsi="Arial" w:cs="Arial"/>
          <w:i/>
          <w:sz w:val="18"/>
          <w:szCs w:val="18"/>
        </w:rPr>
        <w:t>Op</w:t>
      </w:r>
      <w:proofErr w:type="spellEnd"/>
      <w:r w:rsidRPr="00295687">
        <w:rPr>
          <w:rFonts w:ascii="Arial" w:hAnsi="Arial" w:cs="Arial"/>
          <w:i/>
          <w:sz w:val="18"/>
          <w:szCs w:val="18"/>
        </w:rPr>
        <w:t>. cit.</w:t>
      </w:r>
      <w:r w:rsidRPr="00295687">
        <w:rPr>
          <w:rFonts w:ascii="Arial" w:hAnsi="Arial" w:cs="Arial"/>
          <w:sz w:val="18"/>
          <w:szCs w:val="18"/>
        </w:rPr>
        <w:t xml:space="preserve">, </w:t>
      </w:r>
      <w:proofErr w:type="spellStart"/>
      <w:r w:rsidRPr="00295687">
        <w:rPr>
          <w:rFonts w:ascii="Arial" w:hAnsi="Arial" w:cs="Arial"/>
          <w:sz w:val="18"/>
          <w:szCs w:val="18"/>
        </w:rPr>
        <w:t>s.p.</w:t>
      </w:r>
      <w:proofErr w:type="spellEnd"/>
    </w:p>
  </w:footnote>
  <w:footnote w:id="10">
    <w:p w:rsidR="00AA6A2C" w:rsidRPr="00295687" w:rsidRDefault="00AA6A2C"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Sánchez, D. (2007). Envejecimiento demográfico urbano y sus repercusiones </w:t>
      </w:r>
      <w:proofErr w:type="spellStart"/>
      <w:r w:rsidRPr="00295687">
        <w:rPr>
          <w:rFonts w:ascii="Arial" w:hAnsi="Arial" w:cs="Arial"/>
          <w:sz w:val="18"/>
          <w:szCs w:val="18"/>
        </w:rPr>
        <w:t>socioespaciales</w:t>
      </w:r>
      <w:proofErr w:type="spellEnd"/>
      <w:r w:rsidRPr="00295687">
        <w:rPr>
          <w:rFonts w:ascii="Arial" w:hAnsi="Arial" w:cs="Arial"/>
          <w:sz w:val="18"/>
          <w:szCs w:val="18"/>
        </w:rPr>
        <w:t xml:space="preserve"> en México. Retos de la planeación gerontológica. </w:t>
      </w:r>
      <w:r w:rsidRPr="00295687">
        <w:rPr>
          <w:rFonts w:ascii="Arial" w:hAnsi="Arial" w:cs="Arial"/>
          <w:i/>
          <w:sz w:val="18"/>
          <w:szCs w:val="18"/>
        </w:rPr>
        <w:t>Revista de Geografía Norte Grande</w:t>
      </w:r>
      <w:r w:rsidRPr="00295687">
        <w:rPr>
          <w:rFonts w:ascii="Arial" w:hAnsi="Arial" w:cs="Arial"/>
          <w:sz w:val="18"/>
          <w:szCs w:val="18"/>
        </w:rPr>
        <w:t>, 38, pp. 45-61.</w:t>
      </w:r>
    </w:p>
  </w:footnote>
  <w:footnote w:id="11">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INEGI (2016). </w:t>
      </w:r>
      <w:r w:rsidRPr="00295687">
        <w:rPr>
          <w:rFonts w:ascii="Arial" w:hAnsi="Arial" w:cs="Arial"/>
          <w:i/>
          <w:sz w:val="18"/>
          <w:szCs w:val="18"/>
        </w:rPr>
        <w:t xml:space="preserve">Encuesta </w:t>
      </w:r>
      <w:proofErr w:type="spellStart"/>
      <w:r w:rsidRPr="00295687">
        <w:rPr>
          <w:rFonts w:ascii="Arial" w:hAnsi="Arial" w:cs="Arial"/>
          <w:i/>
          <w:sz w:val="18"/>
          <w:szCs w:val="18"/>
        </w:rPr>
        <w:t>Intercensal</w:t>
      </w:r>
      <w:proofErr w:type="spellEnd"/>
      <w:r w:rsidRPr="00295687">
        <w:rPr>
          <w:rFonts w:ascii="Arial" w:hAnsi="Arial" w:cs="Arial"/>
          <w:i/>
          <w:sz w:val="18"/>
          <w:szCs w:val="18"/>
        </w:rPr>
        <w:t xml:space="preserve"> 2015</w:t>
      </w:r>
      <w:r w:rsidRPr="00295687">
        <w:rPr>
          <w:rFonts w:ascii="Arial" w:hAnsi="Arial" w:cs="Arial"/>
          <w:sz w:val="18"/>
          <w:szCs w:val="18"/>
        </w:rPr>
        <w:t>. Consultado el 02/02/2019 de https://www.inegi.org.mx/programas/intercensal/2015/.</w:t>
      </w:r>
    </w:p>
  </w:footnote>
  <w:footnote w:id="12">
    <w:p w:rsidR="00AA6A2C" w:rsidRPr="00295687" w:rsidRDefault="00AA6A2C"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Negrete, M. (2003). El envejecimiento poblacional en la Ciudad de México: evolución y pautas de distribución espacial entre 1970 y 2000. </w:t>
      </w:r>
      <w:r w:rsidRPr="00295687">
        <w:rPr>
          <w:rFonts w:ascii="Arial" w:hAnsi="Arial" w:cs="Arial"/>
          <w:i/>
          <w:sz w:val="18"/>
          <w:szCs w:val="18"/>
        </w:rPr>
        <w:t>Papeles de Población</w:t>
      </w:r>
      <w:r w:rsidRPr="00295687">
        <w:rPr>
          <w:rFonts w:ascii="Arial" w:hAnsi="Arial" w:cs="Arial"/>
          <w:sz w:val="18"/>
          <w:szCs w:val="18"/>
        </w:rPr>
        <w:t>, 9(37), pp. 107-127.</w:t>
      </w:r>
    </w:p>
  </w:footnote>
  <w:footnote w:id="13">
    <w:p w:rsidR="00AA6A2C" w:rsidRPr="00295687" w:rsidRDefault="00AA6A2C"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M. (2010). Las proyecciones de población hasta mitad del siglo XXI. </w:t>
      </w:r>
      <w:r w:rsidRPr="00295687">
        <w:rPr>
          <w:rFonts w:ascii="Arial" w:hAnsi="Arial" w:cs="Arial"/>
          <w:i/>
          <w:sz w:val="18"/>
          <w:szCs w:val="18"/>
        </w:rPr>
        <w:t>Los grandes problemas de México. Población</w:t>
      </w:r>
      <w:r w:rsidRPr="00295687">
        <w:rPr>
          <w:rFonts w:ascii="Arial" w:hAnsi="Arial" w:cs="Arial"/>
          <w:sz w:val="18"/>
          <w:szCs w:val="18"/>
        </w:rPr>
        <w:t xml:space="preserve"> (pp.29-52).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14">
    <w:p w:rsidR="00AA6A2C" w:rsidRPr="00295687" w:rsidRDefault="00AA6A2C"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proofErr w:type="spellStart"/>
      <w:r w:rsidRPr="00295687">
        <w:rPr>
          <w:rFonts w:ascii="Arial" w:hAnsi="Arial" w:cs="Arial"/>
          <w:sz w:val="18"/>
          <w:szCs w:val="18"/>
        </w:rPr>
        <w:t>Frenk</w:t>
      </w:r>
      <w:proofErr w:type="spellEnd"/>
      <w:r w:rsidRPr="00295687">
        <w:rPr>
          <w:rFonts w:ascii="Arial" w:hAnsi="Arial" w:cs="Arial"/>
          <w:sz w:val="18"/>
          <w:szCs w:val="18"/>
        </w:rPr>
        <w:t>, J. et al. (1991). La transición epidemiológica en América Latina (</w:t>
      </w:r>
      <w:proofErr w:type="spellStart"/>
      <w:r w:rsidRPr="00295687">
        <w:rPr>
          <w:rFonts w:ascii="Arial" w:hAnsi="Arial" w:cs="Arial"/>
          <w:sz w:val="18"/>
          <w:szCs w:val="18"/>
        </w:rPr>
        <w:t>The</w:t>
      </w:r>
      <w:proofErr w:type="spellEnd"/>
      <w:r w:rsidRPr="00295687">
        <w:rPr>
          <w:rFonts w:ascii="Arial" w:hAnsi="Arial" w:cs="Arial"/>
          <w:sz w:val="18"/>
          <w:szCs w:val="18"/>
        </w:rPr>
        <w:t xml:space="preserve"> </w:t>
      </w:r>
      <w:proofErr w:type="spellStart"/>
      <w:r w:rsidRPr="00295687">
        <w:rPr>
          <w:rFonts w:ascii="Arial" w:hAnsi="Arial" w:cs="Arial"/>
          <w:sz w:val="18"/>
          <w:szCs w:val="18"/>
        </w:rPr>
        <w:t>epidemiologic</w:t>
      </w:r>
      <w:proofErr w:type="spellEnd"/>
      <w:r w:rsidRPr="00295687">
        <w:rPr>
          <w:rFonts w:ascii="Arial" w:hAnsi="Arial" w:cs="Arial"/>
          <w:sz w:val="18"/>
          <w:szCs w:val="18"/>
        </w:rPr>
        <w:t xml:space="preserve"> </w:t>
      </w:r>
      <w:proofErr w:type="spellStart"/>
      <w:r w:rsidRPr="00295687">
        <w:rPr>
          <w:rFonts w:ascii="Arial" w:hAnsi="Arial" w:cs="Arial"/>
          <w:sz w:val="18"/>
          <w:szCs w:val="18"/>
        </w:rPr>
        <w:t>transition</w:t>
      </w:r>
      <w:proofErr w:type="spellEnd"/>
      <w:r w:rsidRPr="00295687">
        <w:rPr>
          <w:rFonts w:ascii="Arial" w:hAnsi="Arial" w:cs="Arial"/>
          <w:sz w:val="18"/>
          <w:szCs w:val="18"/>
        </w:rPr>
        <w:t xml:space="preserve"> in </w:t>
      </w:r>
      <w:proofErr w:type="spellStart"/>
      <w:r w:rsidRPr="00295687">
        <w:rPr>
          <w:rFonts w:ascii="Arial" w:hAnsi="Arial" w:cs="Arial"/>
          <w:sz w:val="18"/>
          <w:szCs w:val="18"/>
        </w:rPr>
        <w:t>Latin</w:t>
      </w:r>
      <w:proofErr w:type="spellEnd"/>
      <w:r w:rsidRPr="00295687">
        <w:rPr>
          <w:rFonts w:ascii="Arial" w:hAnsi="Arial" w:cs="Arial"/>
          <w:sz w:val="18"/>
          <w:szCs w:val="18"/>
        </w:rPr>
        <w:t xml:space="preserve"> </w:t>
      </w:r>
      <w:proofErr w:type="spellStart"/>
      <w:r w:rsidRPr="00295687">
        <w:rPr>
          <w:rFonts w:ascii="Arial" w:hAnsi="Arial" w:cs="Arial"/>
          <w:sz w:val="18"/>
          <w:szCs w:val="18"/>
        </w:rPr>
        <w:t>America</w:t>
      </w:r>
      <w:proofErr w:type="spellEnd"/>
      <w:r w:rsidRPr="00295687">
        <w:rPr>
          <w:rFonts w:ascii="Arial" w:hAnsi="Arial" w:cs="Arial"/>
          <w:sz w:val="18"/>
          <w:szCs w:val="18"/>
        </w:rPr>
        <w:t xml:space="preserve">). </w:t>
      </w:r>
      <w:r w:rsidRPr="00295687">
        <w:rPr>
          <w:rFonts w:ascii="Arial" w:hAnsi="Arial" w:cs="Arial"/>
          <w:i/>
          <w:sz w:val="18"/>
          <w:szCs w:val="18"/>
        </w:rPr>
        <w:t>Boletín de la Oficina Sanitaria Panamericana</w:t>
      </w:r>
      <w:r w:rsidRPr="00295687">
        <w:rPr>
          <w:rFonts w:ascii="Arial" w:hAnsi="Arial" w:cs="Arial"/>
          <w:sz w:val="18"/>
          <w:szCs w:val="18"/>
        </w:rPr>
        <w:t>, 111(6); pp. 485-496.</w:t>
      </w:r>
    </w:p>
  </w:footnote>
  <w:footnote w:id="15">
    <w:p w:rsidR="00AA6A2C" w:rsidRPr="00295687" w:rsidRDefault="00AA6A2C"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w:t>
      </w:r>
      <w:proofErr w:type="spellStart"/>
      <w:r w:rsidRPr="00295687">
        <w:rPr>
          <w:rFonts w:ascii="Arial" w:hAnsi="Arial" w:cs="Arial"/>
          <w:i/>
          <w:sz w:val="18"/>
          <w:szCs w:val="18"/>
        </w:rPr>
        <w:t>Op</w:t>
      </w:r>
      <w:proofErr w:type="spellEnd"/>
      <w:r w:rsidRPr="00295687">
        <w:rPr>
          <w:rFonts w:ascii="Arial" w:hAnsi="Arial" w:cs="Arial"/>
          <w:i/>
          <w:sz w:val="18"/>
          <w:szCs w:val="18"/>
        </w:rPr>
        <w:t>. cit.</w:t>
      </w:r>
      <w:r w:rsidRPr="00295687">
        <w:rPr>
          <w:rFonts w:ascii="Arial" w:hAnsi="Arial" w:cs="Arial"/>
          <w:sz w:val="18"/>
          <w:szCs w:val="18"/>
        </w:rPr>
        <w:t>, p.81.</w:t>
      </w:r>
    </w:p>
  </w:footnote>
  <w:footnote w:id="16">
    <w:p w:rsidR="00AA6A2C" w:rsidRPr="00FF6B6A" w:rsidRDefault="00AA6A2C" w:rsidP="00931745">
      <w:pPr>
        <w:pStyle w:val="Textonotapie"/>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proofErr w:type="spellStart"/>
      <w:r w:rsidRPr="00FF6B6A">
        <w:rPr>
          <w:rFonts w:ascii="Arial" w:hAnsi="Arial" w:cs="Arial"/>
          <w:sz w:val="18"/>
          <w:szCs w:val="18"/>
        </w:rPr>
        <w:t>Frenk</w:t>
      </w:r>
      <w:proofErr w:type="spellEnd"/>
      <w:r w:rsidRPr="00FF6B6A">
        <w:rPr>
          <w:rFonts w:ascii="Arial" w:hAnsi="Arial" w:cs="Arial"/>
          <w:sz w:val="18"/>
          <w:szCs w:val="18"/>
        </w:rPr>
        <w:t xml:space="preserve">, J., Bobadilla, J., </w:t>
      </w:r>
      <w:proofErr w:type="spellStart"/>
      <w:r w:rsidRPr="00FF6B6A">
        <w:rPr>
          <w:rFonts w:ascii="Arial" w:hAnsi="Arial" w:cs="Arial"/>
          <w:sz w:val="18"/>
          <w:szCs w:val="18"/>
        </w:rPr>
        <w:t>Stern</w:t>
      </w:r>
      <w:proofErr w:type="spellEnd"/>
      <w:r w:rsidRPr="00FF6B6A">
        <w:rPr>
          <w:rFonts w:ascii="Arial" w:hAnsi="Arial" w:cs="Arial"/>
          <w:sz w:val="18"/>
          <w:szCs w:val="18"/>
        </w:rPr>
        <w:t xml:space="preserve">, C., </w:t>
      </w:r>
      <w:proofErr w:type="spellStart"/>
      <w:r w:rsidRPr="00FF6B6A">
        <w:rPr>
          <w:rFonts w:ascii="Arial" w:hAnsi="Arial" w:cs="Arial"/>
          <w:sz w:val="18"/>
          <w:szCs w:val="18"/>
        </w:rPr>
        <w:t>Frejka</w:t>
      </w:r>
      <w:proofErr w:type="spellEnd"/>
      <w:r w:rsidRPr="00FF6B6A">
        <w:rPr>
          <w:rFonts w:ascii="Arial" w:hAnsi="Arial" w:cs="Arial"/>
          <w:sz w:val="18"/>
          <w:szCs w:val="18"/>
        </w:rPr>
        <w:t xml:space="preserve">, T., Lozano, R. (1991a). Elementos para una teoría de la transición en salud. </w:t>
      </w:r>
      <w:r w:rsidRPr="00FF6B6A">
        <w:rPr>
          <w:rFonts w:ascii="Arial" w:hAnsi="Arial" w:cs="Arial"/>
          <w:i/>
          <w:sz w:val="18"/>
          <w:szCs w:val="18"/>
        </w:rPr>
        <w:t>Salud Pública de México</w:t>
      </w:r>
      <w:r w:rsidRPr="00FF6B6A">
        <w:rPr>
          <w:rFonts w:ascii="Arial" w:hAnsi="Arial" w:cs="Arial"/>
          <w:sz w:val="18"/>
          <w:szCs w:val="18"/>
        </w:rPr>
        <w:t>, 33(5), pp. 448-462.</w:t>
      </w:r>
    </w:p>
  </w:footnote>
  <w:footnote w:id="17">
    <w:p w:rsidR="00AA6A2C" w:rsidRPr="00FF6B6A" w:rsidRDefault="00AA6A2C" w:rsidP="00931745">
      <w:pPr>
        <w:pStyle w:val="Textonotapie"/>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proofErr w:type="spellStart"/>
      <w:r w:rsidRPr="00FF6B6A">
        <w:rPr>
          <w:rFonts w:ascii="Arial" w:hAnsi="Arial" w:cs="Arial"/>
          <w:sz w:val="18"/>
          <w:szCs w:val="18"/>
        </w:rPr>
        <w:t>Frenk</w:t>
      </w:r>
      <w:proofErr w:type="spellEnd"/>
      <w:r w:rsidRPr="00FF6B6A">
        <w:rPr>
          <w:rFonts w:ascii="Arial" w:hAnsi="Arial" w:cs="Arial"/>
          <w:sz w:val="18"/>
          <w:szCs w:val="18"/>
        </w:rPr>
        <w:t xml:space="preserve"> </w:t>
      </w:r>
      <w:r w:rsidRPr="00FF6B6A">
        <w:rPr>
          <w:rFonts w:ascii="Arial" w:hAnsi="Arial" w:cs="Arial"/>
          <w:i/>
          <w:sz w:val="18"/>
          <w:szCs w:val="18"/>
        </w:rPr>
        <w:t>et</w:t>
      </w:r>
      <w:r>
        <w:rPr>
          <w:rFonts w:ascii="Arial" w:hAnsi="Arial" w:cs="Arial"/>
          <w:i/>
          <w:sz w:val="18"/>
          <w:szCs w:val="18"/>
        </w:rPr>
        <w:t xml:space="preserve"> </w:t>
      </w:r>
      <w:r w:rsidRPr="00FF6B6A">
        <w:rPr>
          <w:rFonts w:ascii="Arial" w:hAnsi="Arial" w:cs="Arial"/>
          <w:i/>
          <w:sz w:val="18"/>
          <w:szCs w:val="18"/>
        </w:rPr>
        <w:t>al</w:t>
      </w:r>
      <w:r w:rsidRPr="00FF6B6A">
        <w:rPr>
          <w:rFonts w:ascii="Arial" w:hAnsi="Arial" w:cs="Arial"/>
          <w:sz w:val="18"/>
          <w:szCs w:val="18"/>
        </w:rPr>
        <w:t xml:space="preserve">, </w:t>
      </w:r>
      <w:proofErr w:type="spellStart"/>
      <w:r w:rsidRPr="00FF6B6A">
        <w:rPr>
          <w:rFonts w:ascii="Arial" w:hAnsi="Arial" w:cs="Arial"/>
          <w:i/>
          <w:sz w:val="18"/>
          <w:szCs w:val="18"/>
        </w:rPr>
        <w:t>Op</w:t>
      </w:r>
      <w:proofErr w:type="spellEnd"/>
      <w:r w:rsidRPr="00FF6B6A">
        <w:rPr>
          <w:rFonts w:ascii="Arial" w:hAnsi="Arial" w:cs="Arial"/>
          <w:i/>
          <w:sz w:val="18"/>
          <w:szCs w:val="18"/>
        </w:rPr>
        <w:t>. cit.</w:t>
      </w:r>
      <w:r w:rsidRPr="00FF6B6A">
        <w:rPr>
          <w:rFonts w:ascii="Arial" w:hAnsi="Arial" w:cs="Arial"/>
          <w:sz w:val="18"/>
          <w:szCs w:val="18"/>
        </w:rPr>
        <w:t>, p. 487.</w:t>
      </w:r>
    </w:p>
  </w:footnote>
  <w:footnote w:id="18">
    <w:p w:rsidR="00AA6A2C" w:rsidRPr="00FF6B6A" w:rsidRDefault="00AA6A2C" w:rsidP="00931745">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SSA (s.f.). Anuario de Morbilidad de México, 1984-2017. Consultado el 14/02/2019 de http://187.191.75.115/anuario/html/morbilidad_nacional.html</w:t>
      </w:r>
    </w:p>
  </w:footnote>
  <w:footnote w:id="19">
    <w:p w:rsidR="00AA6A2C" w:rsidRPr="00FF6B6A" w:rsidRDefault="00AA6A2C" w:rsidP="00931745">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r w:rsidRPr="00FF6B6A">
        <w:rPr>
          <w:rFonts w:ascii="Arial" w:hAnsi="Arial" w:cs="Arial"/>
          <w:i/>
          <w:sz w:val="18"/>
          <w:szCs w:val="18"/>
        </w:rPr>
        <w:t>Ibídem</w:t>
      </w:r>
      <w:r w:rsidRPr="00FF6B6A">
        <w:rPr>
          <w:rFonts w:ascii="Arial" w:hAnsi="Arial" w:cs="Arial"/>
          <w:sz w:val="18"/>
          <w:szCs w:val="18"/>
        </w:rPr>
        <w:t>.</w:t>
      </w:r>
    </w:p>
  </w:footnote>
  <w:footnote w:id="20">
    <w:p w:rsidR="00AA6A2C" w:rsidRPr="00FC7B12" w:rsidRDefault="00AA6A2C"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Mina, </w:t>
      </w:r>
      <w:proofErr w:type="spellStart"/>
      <w:r w:rsidRPr="00FC7B12">
        <w:rPr>
          <w:rFonts w:ascii="Arial" w:hAnsi="Arial" w:cs="Arial"/>
          <w:i/>
          <w:sz w:val="18"/>
          <w:szCs w:val="18"/>
        </w:rPr>
        <w:t>Op</w:t>
      </w:r>
      <w:proofErr w:type="spellEnd"/>
      <w:r w:rsidRPr="00FC7B12">
        <w:rPr>
          <w:rFonts w:ascii="Arial" w:hAnsi="Arial" w:cs="Arial"/>
          <w:i/>
          <w:sz w:val="18"/>
          <w:szCs w:val="18"/>
        </w:rPr>
        <w:t>. cit.</w:t>
      </w:r>
      <w:r w:rsidRPr="00FC7B12">
        <w:rPr>
          <w:rFonts w:ascii="Arial" w:hAnsi="Arial" w:cs="Arial"/>
          <w:sz w:val="18"/>
          <w:szCs w:val="18"/>
        </w:rPr>
        <w:t>, p. 92.</w:t>
      </w:r>
    </w:p>
  </w:footnote>
  <w:footnote w:id="21">
    <w:p w:rsidR="00AA6A2C" w:rsidRPr="00FC7B12" w:rsidRDefault="00AA6A2C"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Solís, P. (1999). El ingreso a la cuarta edad en México: una aproximación a su intensidad, calendario e implicaciones en el apoyo familiar y social de los ancianos. </w:t>
      </w:r>
      <w:r w:rsidRPr="00FC7B12">
        <w:rPr>
          <w:rFonts w:ascii="Arial" w:hAnsi="Arial" w:cs="Arial"/>
          <w:i/>
          <w:sz w:val="18"/>
          <w:szCs w:val="18"/>
        </w:rPr>
        <w:t>Papeles de Población</w:t>
      </w:r>
      <w:r w:rsidRPr="00FC7B12">
        <w:rPr>
          <w:rFonts w:ascii="Arial" w:hAnsi="Arial" w:cs="Arial"/>
          <w:sz w:val="18"/>
          <w:szCs w:val="18"/>
        </w:rPr>
        <w:t>, 5(19), pp. 43-63.</w:t>
      </w:r>
    </w:p>
  </w:footnote>
  <w:footnote w:id="22">
    <w:p w:rsidR="00AA6A2C" w:rsidRPr="00FC7B12" w:rsidRDefault="00AA6A2C"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3">
    <w:p w:rsidR="00AA6A2C" w:rsidRPr="00FC7B12" w:rsidRDefault="00AA6A2C"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4">
    <w:p w:rsidR="00AA6A2C" w:rsidRPr="009C2DF8" w:rsidRDefault="00AA6A2C"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R., Gómez, H., Garrido, F., Jiménez, A., Campuzano, J., Franco, F., …Murray, C. (2013). La carga de enfermedad, lesiones, factores de riesgo y desafíos para el sistema de salud en México. </w:t>
      </w:r>
      <w:r w:rsidRPr="009C2DF8">
        <w:rPr>
          <w:rFonts w:ascii="Arial" w:hAnsi="Arial" w:cs="Arial"/>
          <w:i/>
          <w:sz w:val="18"/>
          <w:szCs w:val="18"/>
        </w:rPr>
        <w:t>Salud Pública de México</w:t>
      </w:r>
      <w:r w:rsidRPr="009C2DF8">
        <w:rPr>
          <w:rFonts w:ascii="Arial" w:hAnsi="Arial" w:cs="Arial"/>
          <w:sz w:val="18"/>
          <w:szCs w:val="18"/>
        </w:rPr>
        <w:t>, 55(6), pp. 580-594.</w:t>
      </w:r>
    </w:p>
  </w:footnote>
  <w:footnote w:id="25">
    <w:p w:rsidR="00AA6A2C" w:rsidRPr="009C2DF8" w:rsidRDefault="00AA6A2C"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Córdoba, J., </w:t>
      </w:r>
      <w:proofErr w:type="spellStart"/>
      <w:r w:rsidRPr="009C2DF8">
        <w:rPr>
          <w:rFonts w:ascii="Arial" w:hAnsi="Arial" w:cs="Arial"/>
          <w:sz w:val="18"/>
          <w:szCs w:val="18"/>
        </w:rPr>
        <w:t>Barriguete</w:t>
      </w:r>
      <w:proofErr w:type="spellEnd"/>
      <w:r w:rsidRPr="009C2DF8">
        <w:rPr>
          <w:rFonts w:ascii="Arial" w:hAnsi="Arial" w:cs="Arial"/>
          <w:sz w:val="18"/>
          <w:szCs w:val="18"/>
        </w:rPr>
        <w:t xml:space="preserve">, J., Lara, A., Barquera, S., Rosas, M., Hernández, </w:t>
      </w:r>
      <w:proofErr w:type="gramStart"/>
      <w:r w:rsidRPr="009C2DF8">
        <w:rPr>
          <w:rFonts w:ascii="Arial" w:hAnsi="Arial" w:cs="Arial"/>
          <w:sz w:val="18"/>
          <w:szCs w:val="18"/>
        </w:rPr>
        <w:t>M.,</w:t>
      </w:r>
      <w:r>
        <w:rPr>
          <w:rFonts w:ascii="Arial" w:hAnsi="Arial" w:cs="Arial"/>
          <w:sz w:val="18"/>
          <w:szCs w:val="18"/>
        </w:rPr>
        <w:t>…</w:t>
      </w:r>
      <w:proofErr w:type="gramEnd"/>
      <w:r>
        <w:rPr>
          <w:rFonts w:ascii="Arial" w:hAnsi="Arial" w:cs="Arial"/>
          <w:sz w:val="18"/>
          <w:szCs w:val="18"/>
        </w:rPr>
        <w:t xml:space="preserve"> </w:t>
      </w:r>
      <w:r w:rsidRPr="009C2DF8">
        <w:rPr>
          <w:rFonts w:ascii="Arial" w:hAnsi="Arial" w:cs="Arial"/>
          <w:sz w:val="18"/>
          <w:szCs w:val="18"/>
        </w:rPr>
        <w:t xml:space="preserve">Aguilar, C. (2008). Las enfermedades crónicas no transmisibles en México: sinopsis epidemiológica y prevención integral. </w:t>
      </w:r>
      <w:r w:rsidRPr="009C2DF8">
        <w:rPr>
          <w:rFonts w:ascii="Arial" w:hAnsi="Arial" w:cs="Arial"/>
          <w:i/>
          <w:sz w:val="18"/>
          <w:szCs w:val="18"/>
        </w:rPr>
        <w:t>Salud Pública de México</w:t>
      </w:r>
      <w:r w:rsidRPr="009C2DF8">
        <w:rPr>
          <w:rFonts w:ascii="Arial" w:hAnsi="Arial" w:cs="Arial"/>
          <w:sz w:val="18"/>
          <w:szCs w:val="18"/>
        </w:rPr>
        <w:t xml:space="preserve">, 33(5), pp. 448-462. </w:t>
      </w:r>
    </w:p>
  </w:footnote>
  <w:footnote w:id="26">
    <w:p w:rsidR="00AA6A2C" w:rsidRPr="009C2DF8" w:rsidRDefault="00AA6A2C" w:rsidP="00931745">
      <w:pPr>
        <w:pStyle w:val="Textonotapie"/>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w:t>
      </w:r>
      <w:r w:rsidRPr="009C2DF8">
        <w:rPr>
          <w:rFonts w:ascii="Arial" w:hAnsi="Arial" w:cs="Arial"/>
          <w:i/>
          <w:sz w:val="18"/>
          <w:szCs w:val="18"/>
        </w:rPr>
        <w:t>et al</w:t>
      </w:r>
      <w:r w:rsidRPr="009C2DF8">
        <w:rPr>
          <w:rFonts w:ascii="Arial" w:hAnsi="Arial" w:cs="Arial"/>
          <w:sz w:val="18"/>
          <w:szCs w:val="18"/>
        </w:rPr>
        <w:t xml:space="preserve">, </w:t>
      </w:r>
      <w:proofErr w:type="spellStart"/>
      <w:r w:rsidRPr="009C2DF8">
        <w:rPr>
          <w:rFonts w:ascii="Arial" w:hAnsi="Arial" w:cs="Arial"/>
          <w:i/>
          <w:sz w:val="18"/>
          <w:szCs w:val="18"/>
        </w:rPr>
        <w:t>Op</w:t>
      </w:r>
      <w:proofErr w:type="spellEnd"/>
      <w:r w:rsidRPr="009C2DF8">
        <w:rPr>
          <w:rFonts w:ascii="Arial" w:hAnsi="Arial" w:cs="Arial"/>
          <w:i/>
          <w:sz w:val="18"/>
          <w:szCs w:val="18"/>
        </w:rPr>
        <w:t>. cit.</w:t>
      </w:r>
      <w:r w:rsidRPr="009C2DF8">
        <w:rPr>
          <w:rFonts w:ascii="Arial" w:hAnsi="Arial" w:cs="Arial"/>
          <w:sz w:val="18"/>
          <w:szCs w:val="18"/>
        </w:rPr>
        <w:t xml:space="preserve">, p. 83. </w:t>
      </w:r>
    </w:p>
  </w:footnote>
  <w:footnote w:id="27">
    <w:p w:rsidR="00AA6A2C" w:rsidRPr="009C2DF8" w:rsidRDefault="00AA6A2C"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INEGI (2019). Defunciones generales en México 2017. Consultado el 05/02/2019 de https://www.inegi.org.mx/programas/mortalidad/.</w:t>
      </w:r>
    </w:p>
  </w:footnote>
  <w:footnote w:id="28">
    <w:p w:rsidR="00AA6A2C" w:rsidRPr="009C2DF8" w:rsidRDefault="00AA6A2C" w:rsidP="00931745">
      <w:pPr>
        <w:pStyle w:val="Textonotapie"/>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Se considera una tasa bruta de mortalidad por cada 10,000 habitantes.</w:t>
      </w:r>
    </w:p>
  </w:footnote>
  <w:footnote w:id="29">
    <w:p w:rsidR="00AA6A2C" w:rsidRPr="009C2DF8" w:rsidRDefault="00AA6A2C"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w:t>
      </w:r>
      <w:proofErr w:type="spellStart"/>
      <w:r w:rsidRPr="009C2DF8">
        <w:rPr>
          <w:rFonts w:ascii="Arial" w:hAnsi="Arial" w:cs="Arial"/>
          <w:sz w:val="18"/>
          <w:szCs w:val="18"/>
          <w:lang w:val="en-US"/>
        </w:rPr>
        <w:t>Frenk</w:t>
      </w:r>
      <w:proofErr w:type="spellEnd"/>
      <w:r w:rsidRPr="009C2DF8">
        <w:rPr>
          <w:rFonts w:ascii="Arial" w:hAnsi="Arial" w:cs="Arial"/>
          <w:sz w:val="18"/>
          <w:szCs w:val="18"/>
          <w:lang w:val="en-US"/>
        </w:rPr>
        <w:t xml:space="preserve"> </w:t>
      </w:r>
      <w:r w:rsidRPr="009C2DF8">
        <w:rPr>
          <w:rFonts w:ascii="Arial" w:hAnsi="Arial" w:cs="Arial"/>
          <w:i/>
          <w:sz w:val="18"/>
          <w:szCs w:val="18"/>
          <w:lang w:val="en-US"/>
        </w:rPr>
        <w:t>et al</w:t>
      </w:r>
      <w:r w:rsidRPr="009C2DF8">
        <w:rPr>
          <w:rFonts w:ascii="Arial" w:hAnsi="Arial" w:cs="Arial"/>
          <w:sz w:val="18"/>
          <w:szCs w:val="18"/>
          <w:lang w:val="en-US"/>
        </w:rPr>
        <w:t xml:space="preserve"> (1991), </w:t>
      </w:r>
      <w:r w:rsidRPr="009C2DF8">
        <w:rPr>
          <w:rFonts w:ascii="Arial" w:hAnsi="Arial" w:cs="Arial"/>
          <w:i/>
          <w:sz w:val="18"/>
          <w:szCs w:val="18"/>
          <w:lang w:val="en-US"/>
        </w:rPr>
        <w:t>Op. cit.</w:t>
      </w:r>
      <w:r w:rsidRPr="009C2DF8">
        <w:rPr>
          <w:rFonts w:ascii="Arial" w:hAnsi="Arial" w:cs="Arial"/>
          <w:sz w:val="18"/>
          <w:szCs w:val="18"/>
          <w:lang w:val="en-US"/>
        </w:rPr>
        <w:t xml:space="preserve">, p. 487. </w:t>
      </w:r>
    </w:p>
  </w:footnote>
  <w:footnote w:id="30">
    <w:p w:rsidR="00AA6A2C" w:rsidRPr="009C2DF8" w:rsidRDefault="00AA6A2C"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INEGI (2019), </w:t>
      </w:r>
      <w:r w:rsidRPr="009C2DF8">
        <w:rPr>
          <w:rFonts w:ascii="Arial" w:hAnsi="Arial" w:cs="Arial"/>
          <w:i/>
          <w:sz w:val="18"/>
          <w:szCs w:val="18"/>
          <w:lang w:val="en-US"/>
        </w:rPr>
        <w:t>Op. cit.</w:t>
      </w:r>
      <w:r w:rsidRPr="009C2DF8">
        <w:rPr>
          <w:rFonts w:ascii="Arial" w:hAnsi="Arial" w:cs="Arial"/>
          <w:sz w:val="18"/>
          <w:szCs w:val="18"/>
          <w:lang w:val="en-US"/>
        </w:rPr>
        <w:t xml:space="preserve">, </w:t>
      </w:r>
      <w:proofErr w:type="spellStart"/>
      <w:r w:rsidRPr="009C2DF8">
        <w:rPr>
          <w:rFonts w:ascii="Arial" w:hAnsi="Arial" w:cs="Arial"/>
          <w:sz w:val="18"/>
          <w:szCs w:val="18"/>
          <w:lang w:val="en-US"/>
        </w:rPr>
        <w:t>s.p</w:t>
      </w:r>
      <w:proofErr w:type="spellEnd"/>
      <w:r w:rsidRPr="009C2DF8">
        <w:rPr>
          <w:rFonts w:ascii="Arial" w:hAnsi="Arial" w:cs="Arial"/>
          <w:sz w:val="18"/>
          <w:szCs w:val="18"/>
          <w:lang w:val="en-US"/>
        </w:rPr>
        <w:t>.</w:t>
      </w:r>
    </w:p>
  </w:footnote>
  <w:footnote w:id="31">
    <w:p w:rsidR="00AA6A2C" w:rsidRPr="00AB06A4" w:rsidRDefault="00AA6A2C"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sz w:val="18"/>
          <w:szCs w:val="18"/>
          <w:lang w:val="en-US"/>
        </w:rPr>
        <w:t xml:space="preserve">. </w:t>
      </w:r>
    </w:p>
  </w:footnote>
  <w:footnote w:id="32">
    <w:p w:rsidR="00AA6A2C" w:rsidRPr="00AB06A4" w:rsidRDefault="00AA6A2C"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sz w:val="18"/>
          <w:szCs w:val="18"/>
          <w:lang w:val="en-US"/>
        </w:rPr>
        <w:t>.</w:t>
      </w:r>
    </w:p>
  </w:footnote>
  <w:footnote w:id="33">
    <w:p w:rsidR="00AA6A2C" w:rsidRPr="00AB06A4" w:rsidRDefault="00AA6A2C"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i/>
          <w:sz w:val="18"/>
          <w:szCs w:val="18"/>
          <w:lang w:val="en-US"/>
        </w:rPr>
        <w:t>.</w:t>
      </w:r>
    </w:p>
  </w:footnote>
  <w:footnote w:id="34">
    <w:p w:rsidR="00AA6A2C" w:rsidRPr="00C234CD" w:rsidRDefault="00AA6A2C"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w:t>
      </w:r>
      <w:proofErr w:type="spellStart"/>
      <w:r w:rsidRPr="00C234CD">
        <w:rPr>
          <w:rFonts w:ascii="Arial" w:hAnsi="Arial" w:cs="Arial"/>
          <w:sz w:val="18"/>
          <w:szCs w:val="18"/>
          <w:lang w:val="en-US"/>
        </w:rPr>
        <w:t>Heinze</w:t>
      </w:r>
      <w:proofErr w:type="spellEnd"/>
      <w:r w:rsidRPr="00C234CD">
        <w:rPr>
          <w:rFonts w:ascii="Arial" w:hAnsi="Arial" w:cs="Arial"/>
          <w:sz w:val="18"/>
          <w:szCs w:val="18"/>
          <w:lang w:val="en-US"/>
        </w:rPr>
        <w:t xml:space="preserve">, G. </w:t>
      </w:r>
      <w:proofErr w:type="spellStart"/>
      <w:r w:rsidRPr="00C234CD">
        <w:rPr>
          <w:rFonts w:ascii="Arial" w:hAnsi="Arial" w:cs="Arial"/>
          <w:sz w:val="18"/>
          <w:szCs w:val="18"/>
          <w:lang w:val="en-US"/>
        </w:rPr>
        <w:t>Olmedo</w:t>
      </w:r>
      <w:proofErr w:type="spellEnd"/>
      <w:r w:rsidRPr="00C234CD">
        <w:rPr>
          <w:rFonts w:ascii="Arial" w:hAnsi="Arial" w:cs="Arial"/>
          <w:sz w:val="18"/>
          <w:szCs w:val="18"/>
          <w:lang w:val="en-US"/>
        </w:rPr>
        <w:t xml:space="preserve">, V., </w:t>
      </w:r>
      <w:proofErr w:type="spellStart"/>
      <w:r w:rsidRPr="00C234CD">
        <w:rPr>
          <w:rFonts w:ascii="Arial" w:hAnsi="Arial" w:cs="Arial"/>
          <w:sz w:val="18"/>
          <w:szCs w:val="18"/>
          <w:lang w:val="en-US"/>
        </w:rPr>
        <w:t>Bazán</w:t>
      </w:r>
      <w:proofErr w:type="spellEnd"/>
      <w:r w:rsidRPr="00C234CD">
        <w:rPr>
          <w:rFonts w:ascii="Arial" w:hAnsi="Arial" w:cs="Arial"/>
          <w:sz w:val="18"/>
          <w:szCs w:val="18"/>
          <w:lang w:val="en-US"/>
        </w:rPr>
        <w:t xml:space="preserve">, G., Bernard, N., </w:t>
      </w:r>
      <w:proofErr w:type="spellStart"/>
      <w:r w:rsidRPr="00C234CD">
        <w:rPr>
          <w:rFonts w:ascii="Arial" w:hAnsi="Arial" w:cs="Arial"/>
          <w:sz w:val="18"/>
          <w:szCs w:val="18"/>
          <w:lang w:val="en-US"/>
        </w:rPr>
        <w:t>Guízar</w:t>
      </w:r>
      <w:proofErr w:type="spellEnd"/>
      <w:r w:rsidRPr="00C234CD">
        <w:rPr>
          <w:rFonts w:ascii="Arial" w:hAnsi="Arial" w:cs="Arial"/>
          <w:sz w:val="18"/>
          <w:szCs w:val="18"/>
          <w:lang w:val="en-US"/>
        </w:rPr>
        <w:t xml:space="preserve">, D. (2018). </w:t>
      </w:r>
      <w:r w:rsidRPr="00C234CD">
        <w:rPr>
          <w:rFonts w:ascii="Arial" w:hAnsi="Arial" w:cs="Arial"/>
          <w:sz w:val="18"/>
          <w:szCs w:val="18"/>
        </w:rPr>
        <w:t xml:space="preserve">Los médicos especialistas en México. </w:t>
      </w:r>
      <w:r w:rsidRPr="00C234CD">
        <w:rPr>
          <w:rFonts w:ascii="Arial" w:hAnsi="Arial" w:cs="Arial"/>
          <w:i/>
          <w:sz w:val="18"/>
          <w:szCs w:val="18"/>
        </w:rPr>
        <w:t>Gaceta Médica de México</w:t>
      </w:r>
      <w:r w:rsidRPr="00C234CD">
        <w:rPr>
          <w:rFonts w:ascii="Arial" w:hAnsi="Arial" w:cs="Arial"/>
          <w:sz w:val="18"/>
          <w:szCs w:val="18"/>
        </w:rPr>
        <w:t>, vol. 154, pp. 342-351.</w:t>
      </w:r>
    </w:p>
  </w:footnote>
  <w:footnote w:id="35">
    <w:p w:rsidR="00AA6A2C" w:rsidRPr="00C234CD" w:rsidRDefault="00AA6A2C"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OCDE (2017). Health at a Glance 2017: OECD Indicators. </w:t>
      </w:r>
      <w:r w:rsidRPr="00C234CD">
        <w:rPr>
          <w:rFonts w:ascii="Arial" w:hAnsi="Arial" w:cs="Arial"/>
          <w:sz w:val="18"/>
          <w:szCs w:val="18"/>
        </w:rPr>
        <w:t>OCDE Publicaciones: París.</w:t>
      </w:r>
    </w:p>
  </w:footnote>
  <w:footnote w:id="36">
    <w:p w:rsidR="00AA6A2C" w:rsidRPr="00C234CD" w:rsidRDefault="00AA6A2C"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37">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proofErr w:type="spellStart"/>
      <w:r w:rsidRPr="00C234CD">
        <w:rPr>
          <w:rFonts w:ascii="Arial" w:hAnsi="Arial" w:cs="Arial"/>
          <w:sz w:val="18"/>
          <w:szCs w:val="18"/>
        </w:rPr>
        <w:t>Heinze</w:t>
      </w:r>
      <w:proofErr w:type="spellEnd"/>
      <w:r w:rsidRPr="00C234CD">
        <w:rPr>
          <w:rFonts w:ascii="Arial" w:hAnsi="Arial" w:cs="Arial"/>
          <w:sz w:val="18"/>
          <w:szCs w:val="18"/>
        </w:rPr>
        <w:t xml:space="preserve"> </w:t>
      </w:r>
      <w:r w:rsidRPr="00C234CD">
        <w:rPr>
          <w:rFonts w:ascii="Arial" w:hAnsi="Arial" w:cs="Arial"/>
          <w:i/>
          <w:sz w:val="18"/>
          <w:szCs w:val="18"/>
        </w:rPr>
        <w:t>et al</w:t>
      </w:r>
      <w:r w:rsidRPr="00C234CD">
        <w:rPr>
          <w:rFonts w:ascii="Arial" w:hAnsi="Arial" w:cs="Arial"/>
          <w:sz w:val="18"/>
          <w:szCs w:val="18"/>
        </w:rPr>
        <w:t xml:space="preserve">, </w:t>
      </w:r>
      <w:proofErr w:type="spellStart"/>
      <w:r w:rsidRPr="00C234CD">
        <w:rPr>
          <w:rFonts w:ascii="Arial" w:hAnsi="Arial" w:cs="Arial"/>
          <w:i/>
          <w:sz w:val="18"/>
          <w:szCs w:val="18"/>
        </w:rPr>
        <w:t>op</w:t>
      </w:r>
      <w:proofErr w:type="spellEnd"/>
      <w:r w:rsidRPr="00C234CD">
        <w:rPr>
          <w:rFonts w:ascii="Arial" w:hAnsi="Arial" w:cs="Arial"/>
          <w:i/>
          <w:sz w:val="18"/>
          <w:szCs w:val="18"/>
        </w:rPr>
        <w:t>. cit.</w:t>
      </w:r>
      <w:r w:rsidRPr="00C234CD">
        <w:rPr>
          <w:rFonts w:ascii="Arial" w:hAnsi="Arial" w:cs="Arial"/>
          <w:sz w:val="18"/>
          <w:szCs w:val="18"/>
        </w:rPr>
        <w:t>, p. 346.</w:t>
      </w:r>
    </w:p>
  </w:footnote>
  <w:footnote w:id="38">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SSA (2019). </w:t>
      </w:r>
      <w:r w:rsidRPr="00C234CD">
        <w:rPr>
          <w:rFonts w:ascii="Arial" w:hAnsi="Arial" w:cs="Arial"/>
          <w:i/>
          <w:sz w:val="18"/>
          <w:szCs w:val="18"/>
        </w:rPr>
        <w:t>Recursos en Salud 2017</w:t>
      </w:r>
      <w:r w:rsidRPr="00C234CD">
        <w:rPr>
          <w:rFonts w:ascii="Arial" w:hAnsi="Arial" w:cs="Arial"/>
          <w:sz w:val="18"/>
          <w:szCs w:val="18"/>
        </w:rPr>
        <w:t>. Consultado el 28/02/2019 de https://datos.gob.mx/busca/dataset/recursos-en-salud-nivel-central</w:t>
      </w:r>
    </w:p>
  </w:footnote>
  <w:footnote w:id="39">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INEGI (2018). </w:t>
      </w:r>
      <w:r w:rsidRPr="00C234CD">
        <w:rPr>
          <w:rFonts w:ascii="Arial" w:hAnsi="Arial" w:cs="Arial"/>
          <w:i/>
          <w:sz w:val="18"/>
          <w:szCs w:val="18"/>
        </w:rPr>
        <w:t>Salud en establecimientos particulares 2017</w:t>
      </w:r>
      <w:r w:rsidRPr="00C234CD">
        <w:rPr>
          <w:rFonts w:ascii="Arial" w:hAnsi="Arial" w:cs="Arial"/>
          <w:sz w:val="18"/>
          <w:szCs w:val="18"/>
        </w:rPr>
        <w:t>. Consultado el 8/03/2019 de https://www.inegi.org.mx/programas/salud/default.html#Datos_abiertos</w:t>
      </w:r>
    </w:p>
  </w:footnote>
  <w:footnote w:id="40">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Fajardo, G., García, S., Gonzáles, J.F. (2015) La planificación y formación de médicos especialistas en México. En </w:t>
      </w:r>
      <w:r w:rsidRPr="00C234CD">
        <w:rPr>
          <w:rFonts w:ascii="Arial" w:hAnsi="Arial" w:cs="Arial"/>
          <w:i/>
          <w:sz w:val="18"/>
          <w:szCs w:val="18"/>
        </w:rPr>
        <w:t>La formación de médicos especialistas en México. Documento de postura</w:t>
      </w:r>
      <w:r w:rsidRPr="00C234CD">
        <w:rPr>
          <w:rFonts w:ascii="Arial" w:hAnsi="Arial" w:cs="Arial"/>
          <w:sz w:val="18"/>
          <w:szCs w:val="18"/>
        </w:rPr>
        <w:t>. (pp. 31-42). Fajardo, G., Santacruz, J. y C. Lavalle (</w:t>
      </w:r>
      <w:proofErr w:type="spellStart"/>
      <w:r w:rsidRPr="00C234CD">
        <w:rPr>
          <w:rFonts w:ascii="Arial" w:hAnsi="Arial" w:cs="Arial"/>
          <w:sz w:val="18"/>
          <w:szCs w:val="18"/>
        </w:rPr>
        <w:t>coords</w:t>
      </w:r>
      <w:proofErr w:type="spellEnd"/>
      <w:r w:rsidRPr="00C234CD">
        <w:rPr>
          <w:rFonts w:ascii="Arial" w:hAnsi="Arial" w:cs="Arial"/>
          <w:sz w:val="18"/>
          <w:szCs w:val="18"/>
        </w:rPr>
        <w:t>.); Academia Nacional de Medicina de México y Consejo Nacional de Ciencia y Tecnología; Ciudad de México.</w:t>
      </w:r>
    </w:p>
  </w:footnote>
  <w:footnote w:id="41">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Cervantes, J. (2016). La preocupante anarquía en la práctica de la cirugía general en México. </w:t>
      </w:r>
      <w:r w:rsidRPr="00C234CD">
        <w:rPr>
          <w:rFonts w:ascii="Arial" w:hAnsi="Arial" w:cs="Arial"/>
          <w:i/>
          <w:sz w:val="18"/>
          <w:szCs w:val="18"/>
        </w:rPr>
        <w:t>Cirujano General</w:t>
      </w:r>
      <w:r w:rsidRPr="00C234CD">
        <w:rPr>
          <w:rFonts w:ascii="Arial" w:hAnsi="Arial" w:cs="Arial"/>
          <w:sz w:val="18"/>
          <w:szCs w:val="18"/>
        </w:rPr>
        <w:t>, vol. 36 (2), pp. 92-94.</w:t>
      </w:r>
    </w:p>
  </w:footnote>
  <w:footnote w:id="42">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SSA (2017). </w:t>
      </w:r>
      <w:r w:rsidRPr="00C234CD">
        <w:rPr>
          <w:rFonts w:ascii="Arial" w:hAnsi="Arial" w:cs="Arial"/>
          <w:i/>
          <w:sz w:val="18"/>
          <w:szCs w:val="18"/>
        </w:rPr>
        <w:t>Boletín de Información Estadística No. 36 Año 2016. Volumen III. Servicios otorgados y programas sustantivos.</w:t>
      </w:r>
      <w:r w:rsidRPr="00C234CD">
        <w:rPr>
          <w:rFonts w:ascii="Arial" w:hAnsi="Arial" w:cs="Arial"/>
          <w:sz w:val="18"/>
          <w:szCs w:val="18"/>
        </w:rPr>
        <w:t xml:space="preserve"> Consultado el 01/03/2019 de http://www.dgis.salud.gob.mx/contenidos/publicaciones/p_bie_gobmx.html</w:t>
      </w:r>
    </w:p>
  </w:footnote>
  <w:footnote w:id="43">
    <w:p w:rsidR="00AA6A2C" w:rsidRPr="00C234CD" w:rsidRDefault="00AA6A2C">
      <w:pPr>
        <w:pStyle w:val="Textonotapie"/>
        <w:rPr>
          <w:rFonts w:ascii="Arial" w:hAnsi="Arial" w:cs="Arial"/>
          <w:sz w:val="18"/>
          <w:szCs w:val="18"/>
          <w:lang w:val="en-US"/>
        </w:rPr>
      </w:pPr>
      <w:r w:rsidRPr="00C234CD">
        <w:rPr>
          <w:rStyle w:val="Refdenotaalpie"/>
          <w:rFonts w:ascii="Arial" w:hAnsi="Arial" w:cs="Arial"/>
          <w:sz w:val="18"/>
          <w:szCs w:val="18"/>
        </w:rPr>
        <w:footnoteRef/>
      </w:r>
      <w:r w:rsidRPr="00C234CD">
        <w:rPr>
          <w:rFonts w:ascii="Arial" w:hAnsi="Arial" w:cs="Arial"/>
          <w:sz w:val="18"/>
          <w:szCs w:val="18"/>
          <w:lang w:val="en-US"/>
        </w:rPr>
        <w:t xml:space="preserve"> </w:t>
      </w:r>
      <w:proofErr w:type="spellStart"/>
      <w:r w:rsidRPr="00C234CD">
        <w:rPr>
          <w:rFonts w:ascii="Arial" w:hAnsi="Arial" w:cs="Arial"/>
          <w:i/>
          <w:sz w:val="18"/>
          <w:szCs w:val="18"/>
          <w:lang w:val="en-US"/>
        </w:rPr>
        <w:t>Ibídem</w:t>
      </w:r>
      <w:proofErr w:type="spellEnd"/>
      <w:r w:rsidRPr="00C234CD">
        <w:rPr>
          <w:rFonts w:ascii="Arial" w:hAnsi="Arial" w:cs="Arial"/>
          <w:sz w:val="18"/>
          <w:szCs w:val="18"/>
          <w:lang w:val="en-US"/>
        </w:rPr>
        <w:t>.</w:t>
      </w:r>
    </w:p>
  </w:footnote>
  <w:footnote w:id="44">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w:t>
      </w:r>
      <w:proofErr w:type="spellStart"/>
      <w:r w:rsidRPr="00C234CD">
        <w:rPr>
          <w:rFonts w:ascii="Arial" w:hAnsi="Arial" w:cs="Arial"/>
          <w:sz w:val="18"/>
          <w:szCs w:val="18"/>
          <w:lang w:val="en-US"/>
        </w:rPr>
        <w:t>Meara</w:t>
      </w:r>
      <w:proofErr w:type="spellEnd"/>
      <w:r w:rsidRPr="00C234CD">
        <w:rPr>
          <w:rFonts w:ascii="Arial" w:hAnsi="Arial" w:cs="Arial"/>
          <w:sz w:val="18"/>
          <w:szCs w:val="18"/>
          <w:lang w:val="en-US"/>
        </w:rPr>
        <w:t xml:space="preserve">, J., Leather, A., </w:t>
      </w:r>
      <w:proofErr w:type="spellStart"/>
      <w:r w:rsidRPr="00C234CD">
        <w:rPr>
          <w:rFonts w:ascii="Arial" w:hAnsi="Arial" w:cs="Arial"/>
          <w:sz w:val="18"/>
          <w:szCs w:val="18"/>
          <w:lang w:val="en-US"/>
        </w:rPr>
        <w:t>Hagander</w:t>
      </w:r>
      <w:proofErr w:type="spellEnd"/>
      <w:r w:rsidRPr="00C234CD">
        <w:rPr>
          <w:rFonts w:ascii="Arial" w:hAnsi="Arial" w:cs="Arial"/>
          <w:sz w:val="18"/>
          <w:szCs w:val="18"/>
          <w:lang w:val="en-US"/>
        </w:rPr>
        <w:t xml:space="preserve">, L., </w:t>
      </w:r>
      <w:proofErr w:type="spellStart"/>
      <w:r w:rsidRPr="00C234CD">
        <w:rPr>
          <w:rFonts w:ascii="Arial" w:hAnsi="Arial" w:cs="Arial"/>
          <w:sz w:val="18"/>
          <w:szCs w:val="18"/>
          <w:lang w:val="en-US"/>
        </w:rPr>
        <w:t>Akire</w:t>
      </w:r>
      <w:proofErr w:type="spellEnd"/>
      <w:r w:rsidRPr="00C234CD">
        <w:rPr>
          <w:rFonts w:ascii="Arial" w:hAnsi="Arial" w:cs="Arial"/>
          <w:sz w:val="18"/>
          <w:szCs w:val="18"/>
          <w:lang w:val="en-US"/>
        </w:rPr>
        <w:t xml:space="preserve">, B., Alonso, N., </w:t>
      </w:r>
      <w:proofErr w:type="spellStart"/>
      <w:r w:rsidRPr="00C234CD">
        <w:rPr>
          <w:rFonts w:ascii="Arial" w:hAnsi="Arial" w:cs="Arial"/>
          <w:sz w:val="18"/>
          <w:szCs w:val="18"/>
          <w:lang w:val="en-US"/>
        </w:rPr>
        <w:t>Ameh</w:t>
      </w:r>
      <w:proofErr w:type="spellEnd"/>
      <w:r w:rsidRPr="00C234CD">
        <w:rPr>
          <w:rFonts w:ascii="Arial" w:hAnsi="Arial" w:cs="Arial"/>
          <w:sz w:val="18"/>
          <w:szCs w:val="18"/>
          <w:lang w:val="en-US"/>
        </w:rPr>
        <w:t xml:space="preserve">, E. … Yip, W. (2015). Global Surgery 2030: evidence and solutions for achieving </w:t>
      </w:r>
      <w:proofErr w:type="spellStart"/>
      <w:r w:rsidRPr="00C234CD">
        <w:rPr>
          <w:rFonts w:ascii="Arial" w:hAnsi="Arial" w:cs="Arial"/>
          <w:sz w:val="18"/>
          <w:szCs w:val="18"/>
          <w:lang w:val="en-US"/>
        </w:rPr>
        <w:t>healt</w:t>
      </w:r>
      <w:proofErr w:type="spellEnd"/>
      <w:r w:rsidRPr="00C234CD">
        <w:rPr>
          <w:rFonts w:ascii="Arial" w:hAnsi="Arial" w:cs="Arial"/>
          <w:sz w:val="18"/>
          <w:szCs w:val="18"/>
          <w:lang w:val="en-US"/>
        </w:rPr>
        <w:t xml:space="preserve">, welfare, and economic development. </w:t>
      </w:r>
      <w:proofErr w:type="spellStart"/>
      <w:r w:rsidRPr="00C234CD">
        <w:rPr>
          <w:rFonts w:ascii="Arial" w:hAnsi="Arial" w:cs="Arial"/>
          <w:i/>
          <w:sz w:val="18"/>
          <w:szCs w:val="18"/>
        </w:rPr>
        <w:t>The</w:t>
      </w:r>
      <w:proofErr w:type="spellEnd"/>
      <w:r w:rsidRPr="00C234CD">
        <w:rPr>
          <w:rFonts w:ascii="Arial" w:hAnsi="Arial" w:cs="Arial"/>
          <w:i/>
          <w:sz w:val="18"/>
          <w:szCs w:val="18"/>
        </w:rPr>
        <w:t xml:space="preserve"> </w:t>
      </w:r>
      <w:proofErr w:type="spellStart"/>
      <w:r w:rsidRPr="00C234CD">
        <w:rPr>
          <w:rFonts w:ascii="Arial" w:hAnsi="Arial" w:cs="Arial"/>
          <w:i/>
          <w:sz w:val="18"/>
          <w:szCs w:val="18"/>
        </w:rPr>
        <w:t>Lancet</w:t>
      </w:r>
      <w:proofErr w:type="spellEnd"/>
      <w:r w:rsidRPr="00C234CD">
        <w:rPr>
          <w:rFonts w:ascii="Arial" w:hAnsi="Arial" w:cs="Arial"/>
          <w:sz w:val="18"/>
          <w:szCs w:val="18"/>
        </w:rPr>
        <w:t>, vol. 386 (9993), pp. 569-624.</w:t>
      </w:r>
    </w:p>
  </w:footnote>
  <w:footnote w:id="45">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46">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47">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SSA (s.f. a) </w:t>
      </w:r>
      <w:r w:rsidRPr="00C234CD">
        <w:rPr>
          <w:rFonts w:ascii="Arial" w:hAnsi="Arial" w:cs="Arial"/>
          <w:i/>
          <w:sz w:val="18"/>
          <w:szCs w:val="18"/>
        </w:rPr>
        <w:t>Registro de egresos hospitalarios 2017</w:t>
      </w:r>
      <w:r w:rsidRPr="00C234CD">
        <w:rPr>
          <w:rFonts w:ascii="Arial" w:hAnsi="Arial" w:cs="Arial"/>
          <w:sz w:val="18"/>
          <w:szCs w:val="18"/>
        </w:rPr>
        <w:t xml:space="preserve">. </w:t>
      </w:r>
      <w:r w:rsidRPr="00C234CD">
        <w:rPr>
          <w:rFonts w:ascii="Arial" w:hAnsi="Arial" w:cs="Arial"/>
          <w:i/>
          <w:sz w:val="18"/>
          <w:szCs w:val="18"/>
        </w:rPr>
        <w:t>Procedimientos.</w:t>
      </w:r>
      <w:r w:rsidRPr="00C234CD">
        <w:rPr>
          <w:rFonts w:ascii="Arial" w:hAnsi="Arial" w:cs="Arial"/>
          <w:sz w:val="18"/>
          <w:szCs w:val="18"/>
        </w:rPr>
        <w:t xml:space="preserve"> Consultado el 05/03/2019 de http://www.dgis.salud.gob.mx/contenidos/basesdedatos/da_egresoshosp_gobmx.html</w:t>
      </w:r>
    </w:p>
  </w:footnote>
  <w:footnote w:id="48">
    <w:p w:rsidR="00AA6A2C" w:rsidRPr="00C234CD" w:rsidRDefault="00AA6A2C">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49">
    <w:p w:rsidR="00AA6A2C" w:rsidRPr="00561E8B" w:rsidRDefault="00AA6A2C">
      <w:pPr>
        <w:pStyle w:val="Textonotapie"/>
      </w:pPr>
      <w:r>
        <w:rPr>
          <w:rStyle w:val="Refdenotaalpie"/>
        </w:rPr>
        <w:footnoteRef/>
      </w:r>
      <w:r w:rsidRPr="00561E8B">
        <w:t xml:space="preserve"> SSA (2019), </w:t>
      </w:r>
      <w:proofErr w:type="spellStart"/>
      <w:r w:rsidRPr="00561E8B">
        <w:rPr>
          <w:i/>
        </w:rPr>
        <w:t>op</w:t>
      </w:r>
      <w:proofErr w:type="spellEnd"/>
      <w:r w:rsidRPr="00561E8B">
        <w:rPr>
          <w:i/>
        </w:rPr>
        <w:t>. cit.</w:t>
      </w:r>
      <w:r w:rsidRPr="00561E8B">
        <w:t xml:space="preserve">, </w:t>
      </w:r>
      <w:proofErr w:type="spellStart"/>
      <w:r w:rsidRPr="00561E8B">
        <w:t>s.p.</w:t>
      </w:r>
      <w:proofErr w:type="spellEnd"/>
    </w:p>
  </w:footnote>
  <w:footnote w:id="50">
    <w:p w:rsidR="00AA6A2C" w:rsidRDefault="00AA6A2C">
      <w:pPr>
        <w:pStyle w:val="Textonotapie"/>
      </w:pPr>
      <w:r>
        <w:rPr>
          <w:rStyle w:val="Refdenotaalpie"/>
        </w:rPr>
        <w:footnoteRef/>
      </w:r>
      <w:r>
        <w:t xml:space="preserve"> </w:t>
      </w:r>
      <w:r w:rsidRPr="00FD54E3">
        <w:rPr>
          <w:i/>
        </w:rPr>
        <w:t>Ibídem</w:t>
      </w:r>
      <w:r>
        <w:t>.</w:t>
      </w:r>
    </w:p>
  </w:footnote>
  <w:footnote w:id="51">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Fajardo, G., Santacruz, J., Hernández, F. (2015). Conclusiones y lecciones aprendidas de la experiencia nacional. En </w:t>
      </w:r>
      <w:r w:rsidRPr="00F934E1">
        <w:rPr>
          <w:rFonts w:ascii="Arial" w:hAnsi="Arial" w:cs="Arial"/>
          <w:i/>
          <w:sz w:val="18"/>
          <w:szCs w:val="18"/>
        </w:rPr>
        <w:t>La formación de médicos especialistas en México. Documento de postura</w:t>
      </w:r>
      <w:r w:rsidRPr="00F934E1">
        <w:rPr>
          <w:rFonts w:ascii="Arial" w:hAnsi="Arial" w:cs="Arial"/>
          <w:sz w:val="18"/>
          <w:szCs w:val="18"/>
        </w:rPr>
        <w:t xml:space="preserve"> (pp. 43-56). Fajardo, G., Santacruz, J. y C. Lavalle (</w:t>
      </w:r>
      <w:proofErr w:type="spellStart"/>
      <w:r w:rsidRPr="00F934E1">
        <w:rPr>
          <w:rFonts w:ascii="Arial" w:hAnsi="Arial" w:cs="Arial"/>
          <w:sz w:val="18"/>
          <w:szCs w:val="18"/>
        </w:rPr>
        <w:t>coords</w:t>
      </w:r>
      <w:proofErr w:type="spellEnd"/>
      <w:r w:rsidRPr="00F934E1">
        <w:rPr>
          <w:rFonts w:ascii="Arial" w:hAnsi="Arial" w:cs="Arial"/>
          <w:sz w:val="18"/>
          <w:szCs w:val="18"/>
        </w:rPr>
        <w:t>.); Academia Nacional de Medicina de México y Consejo Nacional de Ciencia y Tecnología de México; Ciudad de México.</w:t>
      </w:r>
    </w:p>
  </w:footnote>
  <w:footnote w:id="52">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SSA (s.f. a), </w:t>
      </w:r>
      <w:proofErr w:type="spellStart"/>
      <w:r w:rsidRPr="00F934E1">
        <w:rPr>
          <w:rFonts w:ascii="Arial" w:hAnsi="Arial" w:cs="Arial"/>
          <w:i/>
          <w:sz w:val="18"/>
          <w:szCs w:val="18"/>
        </w:rPr>
        <w:t>op</w:t>
      </w:r>
      <w:proofErr w:type="spellEnd"/>
      <w:r w:rsidRPr="00F934E1">
        <w:rPr>
          <w:rFonts w:ascii="Arial" w:hAnsi="Arial" w:cs="Arial"/>
          <w:i/>
          <w:sz w:val="18"/>
          <w:szCs w:val="18"/>
        </w:rPr>
        <w:t>. cit.</w:t>
      </w:r>
      <w:r w:rsidRPr="00F934E1">
        <w:rPr>
          <w:rFonts w:ascii="Arial" w:hAnsi="Arial" w:cs="Arial"/>
          <w:sz w:val="18"/>
          <w:szCs w:val="18"/>
        </w:rPr>
        <w:t xml:space="preserve">, </w:t>
      </w:r>
      <w:proofErr w:type="spellStart"/>
      <w:r w:rsidRPr="00F934E1">
        <w:rPr>
          <w:rFonts w:ascii="Arial" w:hAnsi="Arial" w:cs="Arial"/>
          <w:sz w:val="18"/>
          <w:szCs w:val="18"/>
        </w:rPr>
        <w:t>s.p.</w:t>
      </w:r>
      <w:proofErr w:type="spellEnd"/>
    </w:p>
  </w:footnote>
  <w:footnote w:id="53">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SSA (2019), </w:t>
      </w:r>
      <w:proofErr w:type="spellStart"/>
      <w:r w:rsidRPr="00F934E1">
        <w:rPr>
          <w:rFonts w:ascii="Arial" w:hAnsi="Arial" w:cs="Arial"/>
          <w:i/>
          <w:sz w:val="18"/>
          <w:szCs w:val="18"/>
        </w:rPr>
        <w:t>op.cit</w:t>
      </w:r>
      <w:proofErr w:type="spellEnd"/>
      <w:r w:rsidRPr="00F934E1">
        <w:rPr>
          <w:rFonts w:ascii="Arial" w:hAnsi="Arial" w:cs="Arial"/>
          <w:i/>
          <w:sz w:val="18"/>
          <w:szCs w:val="18"/>
        </w:rPr>
        <w:t>.</w:t>
      </w:r>
      <w:r w:rsidRPr="00F934E1">
        <w:rPr>
          <w:rFonts w:ascii="Arial" w:hAnsi="Arial" w:cs="Arial"/>
          <w:sz w:val="18"/>
          <w:szCs w:val="18"/>
        </w:rPr>
        <w:t xml:space="preserve">, </w:t>
      </w:r>
      <w:proofErr w:type="spellStart"/>
      <w:r w:rsidRPr="00F934E1">
        <w:rPr>
          <w:rFonts w:ascii="Arial" w:hAnsi="Arial" w:cs="Arial"/>
          <w:sz w:val="18"/>
          <w:szCs w:val="18"/>
        </w:rPr>
        <w:t>s.p.</w:t>
      </w:r>
      <w:proofErr w:type="spellEnd"/>
    </w:p>
  </w:footnote>
  <w:footnote w:id="54">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w:t>
      </w:r>
      <w:r w:rsidRPr="00F934E1">
        <w:rPr>
          <w:rFonts w:ascii="Arial" w:hAnsi="Arial" w:cs="Arial"/>
          <w:i/>
          <w:sz w:val="18"/>
          <w:szCs w:val="18"/>
        </w:rPr>
        <w:t>Ibídem</w:t>
      </w:r>
      <w:r w:rsidRPr="00F934E1">
        <w:rPr>
          <w:rFonts w:ascii="Arial" w:hAnsi="Arial" w:cs="Arial"/>
          <w:sz w:val="18"/>
          <w:szCs w:val="18"/>
        </w:rPr>
        <w:t>.</w:t>
      </w:r>
    </w:p>
  </w:footnote>
  <w:footnote w:id="55">
    <w:p w:rsidR="00AA6A2C" w:rsidRPr="00F934E1" w:rsidRDefault="00AA6A2C" w:rsidP="00FD54E3">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Fajardo, G. (2015). Propuesta de modelo para la formación de médicos especialistas en México. En </w:t>
      </w:r>
      <w:r w:rsidRPr="00F934E1">
        <w:rPr>
          <w:rFonts w:ascii="Arial" w:hAnsi="Arial" w:cs="Arial"/>
          <w:i/>
          <w:sz w:val="18"/>
          <w:szCs w:val="18"/>
        </w:rPr>
        <w:t>La formación de médicos especialistas en México. Documento de postura</w:t>
      </w:r>
      <w:r w:rsidRPr="00F934E1">
        <w:rPr>
          <w:rFonts w:ascii="Arial" w:hAnsi="Arial" w:cs="Arial"/>
          <w:sz w:val="18"/>
          <w:szCs w:val="18"/>
        </w:rPr>
        <w:t>. (pp. 187-201). Fajardo, G., Santacruz, J. y C. Lavalle (</w:t>
      </w:r>
      <w:proofErr w:type="spellStart"/>
      <w:r w:rsidRPr="00F934E1">
        <w:rPr>
          <w:rFonts w:ascii="Arial" w:hAnsi="Arial" w:cs="Arial"/>
          <w:sz w:val="18"/>
          <w:szCs w:val="18"/>
        </w:rPr>
        <w:t>coords</w:t>
      </w:r>
      <w:proofErr w:type="spellEnd"/>
      <w:r w:rsidRPr="00F934E1">
        <w:rPr>
          <w:rFonts w:ascii="Arial" w:hAnsi="Arial" w:cs="Arial"/>
          <w:sz w:val="18"/>
          <w:szCs w:val="18"/>
        </w:rPr>
        <w:t>.); Academia Nacional de Medicina de México y Consejo Nacional de Ciencia y Tecnología; Ciudad de México.</w:t>
      </w:r>
    </w:p>
    <w:p w:rsidR="00AA6A2C" w:rsidRPr="00F934E1" w:rsidRDefault="00AA6A2C">
      <w:pPr>
        <w:pStyle w:val="Textonotapie"/>
        <w:rPr>
          <w:rFonts w:ascii="Arial" w:hAnsi="Arial" w:cs="Arial"/>
          <w:sz w:val="18"/>
          <w:szCs w:val="18"/>
        </w:rPr>
      </w:pPr>
    </w:p>
  </w:footnote>
  <w:footnote w:id="56">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w:t>
      </w:r>
      <w:proofErr w:type="spellStart"/>
      <w:r w:rsidRPr="00F934E1">
        <w:rPr>
          <w:rFonts w:ascii="Arial" w:hAnsi="Arial" w:cs="Arial"/>
          <w:sz w:val="18"/>
          <w:szCs w:val="18"/>
        </w:rPr>
        <w:t>Heinze</w:t>
      </w:r>
      <w:proofErr w:type="spellEnd"/>
      <w:r w:rsidRPr="00F934E1">
        <w:rPr>
          <w:rFonts w:ascii="Arial" w:hAnsi="Arial" w:cs="Arial"/>
          <w:sz w:val="18"/>
          <w:szCs w:val="18"/>
        </w:rPr>
        <w:t xml:space="preserve"> </w:t>
      </w:r>
      <w:r w:rsidRPr="00F934E1">
        <w:rPr>
          <w:rFonts w:ascii="Arial" w:hAnsi="Arial" w:cs="Arial"/>
          <w:i/>
          <w:sz w:val="18"/>
          <w:szCs w:val="18"/>
        </w:rPr>
        <w:t>et al</w:t>
      </w:r>
      <w:r w:rsidRPr="00F934E1">
        <w:rPr>
          <w:rFonts w:ascii="Arial" w:hAnsi="Arial" w:cs="Arial"/>
          <w:sz w:val="18"/>
          <w:szCs w:val="18"/>
        </w:rPr>
        <w:t xml:space="preserve">, </w:t>
      </w:r>
      <w:proofErr w:type="spellStart"/>
      <w:r w:rsidRPr="00F934E1">
        <w:rPr>
          <w:rFonts w:ascii="Arial" w:hAnsi="Arial" w:cs="Arial"/>
          <w:i/>
          <w:sz w:val="18"/>
          <w:szCs w:val="18"/>
        </w:rPr>
        <w:t>op</w:t>
      </w:r>
      <w:proofErr w:type="spellEnd"/>
      <w:r w:rsidRPr="00F934E1">
        <w:rPr>
          <w:rFonts w:ascii="Arial" w:hAnsi="Arial" w:cs="Arial"/>
          <w:i/>
          <w:sz w:val="18"/>
          <w:szCs w:val="18"/>
        </w:rPr>
        <w:t>. cit.</w:t>
      </w:r>
      <w:r w:rsidRPr="00F934E1">
        <w:rPr>
          <w:rFonts w:ascii="Arial" w:hAnsi="Arial" w:cs="Arial"/>
          <w:sz w:val="18"/>
          <w:szCs w:val="18"/>
        </w:rPr>
        <w:t>, p. 348.</w:t>
      </w:r>
    </w:p>
  </w:footnote>
  <w:footnote w:id="57">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Santacruz, J., Fajardo, G., Hernández, F., Real, T. (2015). Metodología para estimar el número de médicos especialistas en </w:t>
      </w:r>
      <w:proofErr w:type="spellStart"/>
      <w:r w:rsidRPr="00F934E1">
        <w:rPr>
          <w:rFonts w:ascii="Arial" w:hAnsi="Arial" w:cs="Arial"/>
          <w:sz w:val="18"/>
          <w:szCs w:val="18"/>
        </w:rPr>
        <w:t>México.En</w:t>
      </w:r>
      <w:proofErr w:type="spellEnd"/>
      <w:r w:rsidRPr="00F934E1">
        <w:rPr>
          <w:rFonts w:ascii="Arial" w:hAnsi="Arial" w:cs="Arial"/>
          <w:sz w:val="18"/>
          <w:szCs w:val="18"/>
        </w:rPr>
        <w:t xml:space="preserve"> </w:t>
      </w:r>
      <w:r w:rsidRPr="00F934E1">
        <w:rPr>
          <w:rFonts w:ascii="Arial" w:hAnsi="Arial" w:cs="Arial"/>
          <w:i/>
          <w:sz w:val="18"/>
          <w:szCs w:val="18"/>
        </w:rPr>
        <w:t>La formación de médicos especialistas en México. Documento de postura</w:t>
      </w:r>
      <w:r w:rsidRPr="00F934E1">
        <w:rPr>
          <w:rFonts w:ascii="Arial" w:hAnsi="Arial" w:cs="Arial"/>
          <w:sz w:val="18"/>
          <w:szCs w:val="18"/>
        </w:rPr>
        <w:t>. (pp. 71-152). Fajardo, G., Santacruz, J. y C. Lavalle (</w:t>
      </w:r>
      <w:proofErr w:type="spellStart"/>
      <w:r w:rsidRPr="00F934E1">
        <w:rPr>
          <w:rFonts w:ascii="Arial" w:hAnsi="Arial" w:cs="Arial"/>
          <w:sz w:val="18"/>
          <w:szCs w:val="18"/>
        </w:rPr>
        <w:t>coords</w:t>
      </w:r>
      <w:proofErr w:type="spellEnd"/>
      <w:r w:rsidRPr="00F934E1">
        <w:rPr>
          <w:rFonts w:ascii="Arial" w:hAnsi="Arial" w:cs="Arial"/>
          <w:sz w:val="18"/>
          <w:szCs w:val="18"/>
        </w:rPr>
        <w:t>.); Academia Nacional de Medicina de México y Consejo Nacional de Ciencia y Tecnología; Ciudad de México.</w:t>
      </w:r>
    </w:p>
  </w:footnote>
  <w:footnote w:id="58">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Meara </w:t>
      </w:r>
      <w:r w:rsidRPr="00F934E1">
        <w:rPr>
          <w:rFonts w:ascii="Arial" w:hAnsi="Arial" w:cs="Arial"/>
          <w:i/>
          <w:sz w:val="18"/>
          <w:szCs w:val="18"/>
        </w:rPr>
        <w:t>et al</w:t>
      </w:r>
      <w:r w:rsidRPr="00F934E1">
        <w:rPr>
          <w:rFonts w:ascii="Arial" w:hAnsi="Arial" w:cs="Arial"/>
          <w:sz w:val="18"/>
          <w:szCs w:val="18"/>
        </w:rPr>
        <w:t>,</w:t>
      </w:r>
      <w:r w:rsidRPr="00F934E1">
        <w:rPr>
          <w:rFonts w:ascii="Arial" w:hAnsi="Arial" w:cs="Arial"/>
          <w:i/>
          <w:sz w:val="18"/>
          <w:szCs w:val="18"/>
        </w:rPr>
        <w:t xml:space="preserve"> </w:t>
      </w:r>
      <w:proofErr w:type="spellStart"/>
      <w:r w:rsidRPr="00F934E1">
        <w:rPr>
          <w:rFonts w:ascii="Arial" w:hAnsi="Arial" w:cs="Arial"/>
          <w:i/>
          <w:sz w:val="18"/>
          <w:szCs w:val="18"/>
        </w:rPr>
        <w:t>op</w:t>
      </w:r>
      <w:proofErr w:type="spellEnd"/>
      <w:r w:rsidRPr="00F934E1">
        <w:rPr>
          <w:rFonts w:ascii="Arial" w:hAnsi="Arial" w:cs="Arial"/>
          <w:i/>
          <w:sz w:val="18"/>
          <w:szCs w:val="18"/>
        </w:rPr>
        <w:t>. cit.</w:t>
      </w:r>
      <w:r w:rsidRPr="00F934E1">
        <w:rPr>
          <w:rFonts w:ascii="Arial" w:hAnsi="Arial" w:cs="Arial"/>
          <w:sz w:val="18"/>
          <w:szCs w:val="18"/>
        </w:rPr>
        <w:t>, p. 570.</w:t>
      </w:r>
    </w:p>
  </w:footnote>
  <w:footnote w:id="59">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Plancarte, R., Carrillo, R. (2015). Anestesiología. En </w:t>
      </w:r>
      <w:r w:rsidRPr="00F934E1">
        <w:rPr>
          <w:rFonts w:ascii="Arial" w:hAnsi="Arial" w:cs="Arial"/>
          <w:i/>
          <w:sz w:val="18"/>
          <w:szCs w:val="18"/>
        </w:rPr>
        <w:t>Estado del Arte de la Medicina: 2013-2014 Cirugía</w:t>
      </w:r>
      <w:r w:rsidRPr="00F934E1">
        <w:rPr>
          <w:rFonts w:ascii="Arial" w:hAnsi="Arial" w:cs="Arial"/>
          <w:sz w:val="18"/>
          <w:szCs w:val="18"/>
        </w:rPr>
        <w:t xml:space="preserve"> (pp. 1-12). Ruelas, E., </w:t>
      </w:r>
      <w:proofErr w:type="spellStart"/>
      <w:r w:rsidRPr="00F934E1">
        <w:rPr>
          <w:rFonts w:ascii="Arial" w:hAnsi="Arial" w:cs="Arial"/>
          <w:sz w:val="18"/>
          <w:szCs w:val="18"/>
        </w:rPr>
        <w:t>Lifshitz</w:t>
      </w:r>
      <w:proofErr w:type="spellEnd"/>
      <w:r w:rsidRPr="00F934E1">
        <w:rPr>
          <w:rFonts w:ascii="Arial" w:hAnsi="Arial" w:cs="Arial"/>
          <w:sz w:val="18"/>
          <w:szCs w:val="18"/>
        </w:rPr>
        <w:t>, A. y M. Mercado. (</w:t>
      </w:r>
      <w:proofErr w:type="spellStart"/>
      <w:r w:rsidRPr="00F934E1">
        <w:rPr>
          <w:rFonts w:ascii="Arial" w:hAnsi="Arial" w:cs="Arial"/>
          <w:sz w:val="18"/>
          <w:szCs w:val="18"/>
        </w:rPr>
        <w:t>coords</w:t>
      </w:r>
      <w:proofErr w:type="spellEnd"/>
      <w:r w:rsidRPr="00F934E1">
        <w:rPr>
          <w:rFonts w:ascii="Arial" w:hAnsi="Arial" w:cs="Arial"/>
          <w:sz w:val="18"/>
          <w:szCs w:val="18"/>
        </w:rPr>
        <w:t>.). Academia Nacional de Medicina de México y Consejo Nacional de Ciencia y Tecnología de México; Ciudad de México.</w:t>
      </w:r>
    </w:p>
  </w:footnote>
  <w:footnote w:id="60">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Meara </w:t>
      </w:r>
      <w:r w:rsidRPr="00F934E1">
        <w:rPr>
          <w:rFonts w:ascii="Arial" w:hAnsi="Arial" w:cs="Arial"/>
          <w:i/>
          <w:sz w:val="18"/>
          <w:szCs w:val="18"/>
        </w:rPr>
        <w:t>et al</w:t>
      </w:r>
      <w:r w:rsidRPr="00F934E1">
        <w:rPr>
          <w:rFonts w:ascii="Arial" w:hAnsi="Arial" w:cs="Arial"/>
          <w:sz w:val="18"/>
          <w:szCs w:val="18"/>
        </w:rPr>
        <w:t>,</w:t>
      </w:r>
      <w:r w:rsidRPr="00F934E1">
        <w:rPr>
          <w:rFonts w:ascii="Arial" w:hAnsi="Arial" w:cs="Arial"/>
          <w:i/>
          <w:sz w:val="18"/>
          <w:szCs w:val="18"/>
        </w:rPr>
        <w:t xml:space="preserve"> </w:t>
      </w:r>
      <w:proofErr w:type="spellStart"/>
      <w:r w:rsidRPr="00F934E1">
        <w:rPr>
          <w:rFonts w:ascii="Arial" w:hAnsi="Arial" w:cs="Arial"/>
          <w:i/>
          <w:sz w:val="18"/>
          <w:szCs w:val="18"/>
        </w:rPr>
        <w:t>op</w:t>
      </w:r>
      <w:proofErr w:type="spellEnd"/>
      <w:r w:rsidRPr="00F934E1">
        <w:rPr>
          <w:rFonts w:ascii="Arial" w:hAnsi="Arial" w:cs="Arial"/>
          <w:i/>
          <w:sz w:val="18"/>
          <w:szCs w:val="18"/>
        </w:rPr>
        <w:t>. cit.</w:t>
      </w:r>
      <w:r w:rsidRPr="00F934E1">
        <w:rPr>
          <w:rFonts w:ascii="Arial" w:hAnsi="Arial" w:cs="Arial"/>
          <w:sz w:val="18"/>
          <w:szCs w:val="18"/>
        </w:rPr>
        <w:t>, p. 570.</w:t>
      </w:r>
    </w:p>
  </w:footnote>
  <w:footnote w:id="61">
    <w:p w:rsidR="00AA6A2C" w:rsidRPr="00F934E1" w:rsidRDefault="00AA6A2C">
      <w:pPr>
        <w:pStyle w:val="Textonotapie"/>
        <w:rPr>
          <w:rFonts w:ascii="Arial" w:hAnsi="Arial" w:cs="Arial"/>
          <w:sz w:val="18"/>
          <w:szCs w:val="18"/>
        </w:rPr>
      </w:pPr>
      <w:r w:rsidRPr="00F934E1">
        <w:rPr>
          <w:rStyle w:val="Refdenotaalpie"/>
          <w:rFonts w:ascii="Arial" w:hAnsi="Arial" w:cs="Arial"/>
          <w:sz w:val="18"/>
          <w:szCs w:val="18"/>
        </w:rPr>
        <w:footnoteRef/>
      </w:r>
      <w:r w:rsidRPr="00F934E1">
        <w:rPr>
          <w:rFonts w:ascii="Arial" w:hAnsi="Arial" w:cs="Arial"/>
          <w:sz w:val="18"/>
          <w:szCs w:val="18"/>
        </w:rPr>
        <w:t xml:space="preserve"> Plancarte </w:t>
      </w:r>
      <w:r w:rsidRPr="00F934E1">
        <w:rPr>
          <w:rFonts w:ascii="Arial" w:hAnsi="Arial" w:cs="Arial"/>
          <w:i/>
          <w:sz w:val="18"/>
          <w:szCs w:val="18"/>
        </w:rPr>
        <w:t>et al</w:t>
      </w:r>
      <w:r w:rsidRPr="00F934E1">
        <w:rPr>
          <w:rFonts w:ascii="Arial" w:hAnsi="Arial" w:cs="Arial"/>
          <w:sz w:val="18"/>
          <w:szCs w:val="18"/>
        </w:rPr>
        <w:t xml:space="preserve"> (2015), </w:t>
      </w:r>
      <w:proofErr w:type="spellStart"/>
      <w:r w:rsidRPr="00F934E1">
        <w:rPr>
          <w:rFonts w:ascii="Arial" w:hAnsi="Arial" w:cs="Arial"/>
          <w:i/>
          <w:sz w:val="18"/>
          <w:szCs w:val="18"/>
        </w:rPr>
        <w:t>op</w:t>
      </w:r>
      <w:proofErr w:type="spellEnd"/>
      <w:r w:rsidRPr="00F934E1">
        <w:rPr>
          <w:rFonts w:ascii="Arial" w:hAnsi="Arial" w:cs="Arial"/>
          <w:i/>
          <w:sz w:val="18"/>
          <w:szCs w:val="18"/>
        </w:rPr>
        <w:t>. cit.</w:t>
      </w:r>
      <w:r w:rsidRPr="00F934E1">
        <w:rPr>
          <w:rFonts w:ascii="Arial" w:hAnsi="Arial" w:cs="Arial"/>
          <w:sz w:val="18"/>
          <w:szCs w:val="18"/>
        </w:rPr>
        <w:t>, p. 8.</w:t>
      </w:r>
    </w:p>
  </w:footnote>
  <w:footnote w:id="62">
    <w:p w:rsidR="00AA6A2C" w:rsidRPr="00382DD9" w:rsidRDefault="00AA6A2C"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29 de enero de 2016.</w:t>
      </w:r>
    </w:p>
  </w:footnote>
  <w:footnote w:id="63">
    <w:p w:rsidR="00AA6A2C" w:rsidRPr="00382DD9" w:rsidRDefault="00AA6A2C"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10 de junio del 201129 de enero de 2016</w:t>
      </w:r>
    </w:p>
  </w:footnote>
  <w:footnote w:id="64">
    <w:p w:rsidR="00AA6A2C" w:rsidRPr="00382DD9" w:rsidRDefault="00AA6A2C"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por el Diario Oficial de la Federación el 5 de marzo de 1993.</w:t>
      </w:r>
    </w:p>
  </w:footnote>
  <w:footnote w:id="65">
    <w:p w:rsidR="00AA6A2C" w:rsidRPr="00382DD9" w:rsidRDefault="00AA6A2C"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w:t>
      </w:r>
      <w:r w:rsidRPr="00382DD9">
        <w:rPr>
          <w:rFonts w:ascii="Arial" w:hAnsi="Arial" w:cs="Arial"/>
          <w:i/>
          <w:sz w:val="18"/>
          <w:szCs w:val="18"/>
        </w:rPr>
        <w:t>Ídem</w:t>
      </w:r>
      <w:r w:rsidRPr="00382DD9">
        <w:rPr>
          <w:rFonts w:ascii="Arial" w:hAnsi="Arial" w:cs="Arial"/>
          <w:sz w:val="18"/>
          <w:szCs w:val="18"/>
        </w:rPr>
        <w:t xml:space="preserve">. </w:t>
      </w:r>
    </w:p>
  </w:footnote>
  <w:footnote w:id="66">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67">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68">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69">
    <w:p w:rsidR="00AA6A2C" w:rsidRPr="00BD33EC" w:rsidRDefault="00AA6A2C"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70">
    <w:p w:rsidR="00AA6A2C" w:rsidRPr="00BD33EC" w:rsidRDefault="00AA6A2C"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71">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72">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73">
    <w:p w:rsidR="00AA6A2C" w:rsidRPr="00BD33EC" w:rsidRDefault="00AA6A2C"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p w:rsidR="00AA6A2C" w:rsidRPr="00BD33EC" w:rsidRDefault="00AA6A2C" w:rsidP="00414C05">
      <w:pPr>
        <w:pStyle w:val="Textonotapie"/>
        <w:rPr>
          <w:rFonts w:ascii="Arial" w:hAnsi="Arial" w:cs="Arial"/>
          <w:sz w:val="18"/>
        </w:rPr>
      </w:pPr>
    </w:p>
  </w:footnote>
  <w:footnote w:id="74">
    <w:p w:rsidR="00AA6A2C" w:rsidRPr="00BD33EC" w:rsidRDefault="00AA6A2C" w:rsidP="00414C05">
      <w:pPr>
        <w:spacing w:after="0" w:line="240" w:lineRule="auto"/>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75">
    <w:p w:rsidR="00AA6A2C" w:rsidRPr="009566F6" w:rsidRDefault="00AA6A2C" w:rsidP="00414C05">
      <w:pPr>
        <w:pStyle w:val="Textonotapie"/>
        <w:rPr>
          <w:rFonts w:ascii="Arial" w:hAnsi="Arial" w:cs="Arial"/>
          <w:sz w:val="18"/>
          <w:szCs w:val="18"/>
        </w:rPr>
      </w:pPr>
      <w:r w:rsidRPr="009566F6">
        <w:rPr>
          <w:rStyle w:val="Refdenotaalpie"/>
          <w:rFonts w:ascii="Arial" w:hAnsi="Arial" w:cs="Arial"/>
          <w:sz w:val="18"/>
          <w:szCs w:val="18"/>
        </w:rPr>
        <w:footnoteRef/>
      </w:r>
      <w:r w:rsidRPr="009566F6">
        <w:rPr>
          <w:rFonts w:ascii="Arial" w:hAnsi="Arial" w:cs="Arial"/>
          <w:sz w:val="18"/>
          <w:szCs w:val="18"/>
        </w:rPr>
        <w:t xml:space="preserve"> Texto Vigente: Última reforma publicada DOF 19 de enero de 2018</w:t>
      </w:r>
    </w:p>
  </w:footnote>
  <w:footnote w:id="76">
    <w:p w:rsidR="00AA6A2C" w:rsidRPr="00396A81" w:rsidRDefault="00AA6A2C" w:rsidP="00414C05">
      <w:pPr>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Publicado en el D.O.F. el 7 de febrero de 1984, texto vigente última reforma publicada DOF 12-07-2018</w:t>
      </w:r>
    </w:p>
    <w:p w:rsidR="00AA6A2C" w:rsidRDefault="00AA6A2C" w:rsidP="00414C05">
      <w:pPr>
        <w:pStyle w:val="Textonotapie"/>
      </w:pPr>
    </w:p>
  </w:footnote>
  <w:footnote w:id="77">
    <w:p w:rsidR="00AA6A2C" w:rsidRPr="00396A81" w:rsidRDefault="00AA6A2C"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27-05-1987, 12-01-2006, 01-09-2011</w:t>
      </w:r>
    </w:p>
  </w:footnote>
  <w:footnote w:id="78">
    <w:p w:rsidR="00AA6A2C" w:rsidRPr="00396A81" w:rsidRDefault="00AA6A2C"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01-09-2011</w:t>
      </w:r>
    </w:p>
  </w:footnote>
  <w:footnote w:id="79">
    <w:p w:rsidR="00AA6A2C" w:rsidRDefault="00AA6A2C" w:rsidP="00414C05">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AA6A2C" w:rsidRDefault="00AA6A2C" w:rsidP="00414C05">
      <w:pPr>
        <w:pStyle w:val="Textonotapie"/>
      </w:pPr>
    </w:p>
  </w:footnote>
  <w:footnote w:id="80">
    <w:p w:rsidR="00AA6A2C" w:rsidRPr="00AF2109" w:rsidRDefault="00AA6A2C" w:rsidP="00E94E74">
      <w:pPr>
        <w:pStyle w:val="Textonotapie"/>
        <w:rPr>
          <w:rFonts w:ascii="Arial" w:hAnsi="Arial" w:cs="Arial"/>
          <w:sz w:val="18"/>
          <w:szCs w:val="18"/>
          <w:lang w:val="en-US"/>
        </w:rPr>
      </w:pPr>
      <w:r w:rsidRPr="00AF2109">
        <w:rPr>
          <w:rStyle w:val="Refdenotaalpie"/>
          <w:rFonts w:ascii="Arial" w:hAnsi="Arial" w:cs="Arial"/>
          <w:sz w:val="18"/>
          <w:szCs w:val="18"/>
        </w:rPr>
        <w:footnoteRef/>
      </w:r>
      <w:r w:rsidRPr="00AF2109">
        <w:rPr>
          <w:rFonts w:ascii="Arial" w:hAnsi="Arial" w:cs="Arial"/>
          <w:sz w:val="18"/>
          <w:szCs w:val="18"/>
        </w:rPr>
        <w:t xml:space="preserve"> Querido, S., </w:t>
      </w:r>
      <w:proofErr w:type="spellStart"/>
      <w:r w:rsidRPr="00AF2109">
        <w:rPr>
          <w:rFonts w:ascii="Arial" w:hAnsi="Arial" w:cs="Arial"/>
          <w:sz w:val="18"/>
          <w:szCs w:val="18"/>
        </w:rPr>
        <w:t>Vergouw</w:t>
      </w:r>
      <w:proofErr w:type="spellEnd"/>
      <w:r w:rsidRPr="00AF2109">
        <w:rPr>
          <w:rFonts w:ascii="Arial" w:hAnsi="Arial" w:cs="Arial"/>
          <w:sz w:val="18"/>
          <w:szCs w:val="18"/>
        </w:rPr>
        <w:t xml:space="preserve">, D., </w:t>
      </w:r>
      <w:proofErr w:type="spellStart"/>
      <w:r w:rsidRPr="00AF2109">
        <w:rPr>
          <w:rFonts w:ascii="Arial" w:hAnsi="Arial" w:cs="Arial"/>
          <w:sz w:val="18"/>
          <w:szCs w:val="18"/>
        </w:rPr>
        <w:t>Wigersma</w:t>
      </w:r>
      <w:proofErr w:type="spellEnd"/>
      <w:r w:rsidRPr="00AF2109">
        <w:rPr>
          <w:rFonts w:ascii="Arial" w:hAnsi="Arial" w:cs="Arial"/>
          <w:sz w:val="18"/>
          <w:szCs w:val="18"/>
        </w:rPr>
        <w:t xml:space="preserve">, L., </w:t>
      </w:r>
      <w:proofErr w:type="spellStart"/>
      <w:r w:rsidRPr="00AF2109">
        <w:rPr>
          <w:rFonts w:ascii="Arial" w:hAnsi="Arial" w:cs="Arial"/>
          <w:sz w:val="18"/>
          <w:szCs w:val="18"/>
        </w:rPr>
        <w:t>Batenburg</w:t>
      </w:r>
      <w:proofErr w:type="spellEnd"/>
      <w:r w:rsidRPr="00AF2109">
        <w:rPr>
          <w:rFonts w:ascii="Arial" w:hAnsi="Arial" w:cs="Arial"/>
          <w:sz w:val="18"/>
          <w:szCs w:val="18"/>
        </w:rPr>
        <w:t xml:space="preserve">, R., De </w:t>
      </w:r>
      <w:proofErr w:type="spellStart"/>
      <w:r w:rsidRPr="00AF2109">
        <w:rPr>
          <w:rFonts w:ascii="Arial" w:hAnsi="Arial" w:cs="Arial"/>
          <w:sz w:val="18"/>
          <w:szCs w:val="18"/>
        </w:rPr>
        <w:t>Rond</w:t>
      </w:r>
      <w:proofErr w:type="spellEnd"/>
      <w:r w:rsidRPr="00AF2109">
        <w:rPr>
          <w:rFonts w:ascii="Arial" w:hAnsi="Arial" w:cs="Arial"/>
          <w:sz w:val="18"/>
          <w:szCs w:val="18"/>
        </w:rPr>
        <w:t xml:space="preserve">, M., Ten, O. (2016). </w:t>
      </w:r>
      <w:r w:rsidRPr="00AF2109">
        <w:rPr>
          <w:rFonts w:ascii="Arial" w:hAnsi="Arial" w:cs="Arial"/>
          <w:sz w:val="18"/>
          <w:szCs w:val="18"/>
          <w:lang w:val="en-US"/>
        </w:rPr>
        <w:t xml:space="preserve">Dynamics of career choice among students in undergraduate medical courses. A BEME systematic review: BEME Guide No. 33. </w:t>
      </w:r>
      <w:r w:rsidRPr="00AF2109">
        <w:rPr>
          <w:rFonts w:ascii="Arial" w:hAnsi="Arial" w:cs="Arial"/>
          <w:i/>
          <w:sz w:val="18"/>
          <w:szCs w:val="18"/>
          <w:lang w:val="en-US"/>
        </w:rPr>
        <w:t>Medical Teacher</w:t>
      </w:r>
      <w:r w:rsidRPr="00AF2109">
        <w:rPr>
          <w:rFonts w:ascii="Arial" w:hAnsi="Arial" w:cs="Arial"/>
          <w:sz w:val="18"/>
          <w:szCs w:val="18"/>
          <w:lang w:val="en-US"/>
        </w:rPr>
        <w:t>, vol. 38 (1), pp. 18-29.</w:t>
      </w:r>
    </w:p>
  </w:footnote>
  <w:footnote w:id="81">
    <w:p w:rsidR="00AA6A2C" w:rsidRPr="00AF2109" w:rsidRDefault="00AA6A2C"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Gutiérrez, C., </w:t>
      </w:r>
      <w:proofErr w:type="spellStart"/>
      <w:r w:rsidRPr="00AF2109">
        <w:rPr>
          <w:rFonts w:ascii="Arial" w:hAnsi="Arial" w:cs="Arial"/>
          <w:sz w:val="18"/>
          <w:szCs w:val="18"/>
        </w:rPr>
        <w:t>Naveja</w:t>
      </w:r>
      <w:proofErr w:type="spellEnd"/>
      <w:r w:rsidRPr="00AF2109">
        <w:rPr>
          <w:rFonts w:ascii="Arial" w:hAnsi="Arial" w:cs="Arial"/>
          <w:sz w:val="18"/>
          <w:szCs w:val="18"/>
        </w:rPr>
        <w:t xml:space="preserve">, J., Sánchez, M. (2017). Factores relacionados con la elección de una especialidad en medicina. </w:t>
      </w:r>
      <w:r w:rsidRPr="00AF2109">
        <w:rPr>
          <w:rFonts w:ascii="Arial" w:hAnsi="Arial" w:cs="Arial"/>
          <w:i/>
          <w:sz w:val="18"/>
          <w:szCs w:val="18"/>
        </w:rPr>
        <w:t>Investigación en Educación Médica</w:t>
      </w:r>
      <w:r w:rsidRPr="00AF2109">
        <w:rPr>
          <w:rFonts w:ascii="Arial" w:hAnsi="Arial" w:cs="Arial"/>
          <w:sz w:val="18"/>
          <w:szCs w:val="18"/>
        </w:rPr>
        <w:t>, vol. 6(23), pp. 206-214.</w:t>
      </w:r>
    </w:p>
  </w:footnote>
  <w:footnote w:id="82">
    <w:p w:rsidR="00AA6A2C" w:rsidRPr="00AF2109" w:rsidRDefault="00AA6A2C"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Fajardo </w:t>
      </w:r>
      <w:r w:rsidRPr="00AF2109">
        <w:rPr>
          <w:rFonts w:ascii="Arial" w:hAnsi="Arial" w:cs="Arial"/>
          <w:i/>
          <w:sz w:val="18"/>
          <w:szCs w:val="18"/>
        </w:rPr>
        <w:t>et al</w:t>
      </w:r>
      <w:r w:rsidRPr="00AF2109">
        <w:rPr>
          <w:rFonts w:ascii="Arial" w:hAnsi="Arial" w:cs="Arial"/>
          <w:sz w:val="18"/>
          <w:szCs w:val="18"/>
        </w:rPr>
        <w:t xml:space="preserve"> (2015), </w:t>
      </w:r>
      <w:proofErr w:type="spellStart"/>
      <w:r w:rsidRPr="00AF2109">
        <w:rPr>
          <w:rFonts w:ascii="Arial" w:hAnsi="Arial" w:cs="Arial"/>
          <w:i/>
          <w:sz w:val="18"/>
          <w:szCs w:val="18"/>
        </w:rPr>
        <w:t>op</w:t>
      </w:r>
      <w:proofErr w:type="spellEnd"/>
      <w:r w:rsidRPr="00AF2109">
        <w:rPr>
          <w:rFonts w:ascii="Arial" w:hAnsi="Arial" w:cs="Arial"/>
          <w:i/>
          <w:sz w:val="18"/>
          <w:szCs w:val="18"/>
        </w:rPr>
        <w:t>. cit</w:t>
      </w:r>
      <w:r w:rsidRPr="00AF2109">
        <w:rPr>
          <w:rFonts w:ascii="Arial" w:hAnsi="Arial" w:cs="Arial"/>
          <w:sz w:val="18"/>
          <w:szCs w:val="18"/>
        </w:rPr>
        <w:t>., p. 35.</w:t>
      </w:r>
    </w:p>
  </w:footnote>
  <w:footnote w:id="83">
    <w:p w:rsidR="00AA6A2C" w:rsidRPr="00AF2109" w:rsidRDefault="00AA6A2C"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lang w:val="en-US"/>
        </w:rPr>
        <w:t xml:space="preserve"> Bland, C., </w:t>
      </w:r>
      <w:proofErr w:type="spellStart"/>
      <w:r w:rsidRPr="00AF2109">
        <w:rPr>
          <w:rFonts w:ascii="Arial" w:hAnsi="Arial" w:cs="Arial"/>
          <w:sz w:val="18"/>
          <w:szCs w:val="18"/>
          <w:lang w:val="en-US"/>
        </w:rPr>
        <w:t>Meurer</w:t>
      </w:r>
      <w:proofErr w:type="spellEnd"/>
      <w:r w:rsidRPr="00AF2109">
        <w:rPr>
          <w:rFonts w:ascii="Arial" w:hAnsi="Arial" w:cs="Arial"/>
          <w:sz w:val="18"/>
          <w:szCs w:val="18"/>
          <w:lang w:val="en-US"/>
        </w:rPr>
        <w:t xml:space="preserve">, L., </w:t>
      </w:r>
      <w:proofErr w:type="spellStart"/>
      <w:r w:rsidRPr="00AF2109">
        <w:rPr>
          <w:rFonts w:ascii="Arial" w:hAnsi="Arial" w:cs="Arial"/>
          <w:sz w:val="18"/>
          <w:szCs w:val="18"/>
          <w:lang w:val="en-US"/>
        </w:rPr>
        <w:t>Maldona</w:t>
      </w:r>
      <w:proofErr w:type="spellEnd"/>
      <w:r w:rsidRPr="00AF2109">
        <w:rPr>
          <w:rFonts w:ascii="Arial" w:hAnsi="Arial" w:cs="Arial"/>
          <w:sz w:val="18"/>
          <w:szCs w:val="18"/>
          <w:lang w:val="en-US"/>
        </w:rPr>
        <w:t xml:space="preserve">, G. (1995). Determinants of primary care specialty choice: A non-statistical meta-analysis of the literature. </w:t>
      </w:r>
      <w:proofErr w:type="spellStart"/>
      <w:r w:rsidRPr="00AF2109">
        <w:rPr>
          <w:rFonts w:ascii="Arial" w:hAnsi="Arial" w:cs="Arial"/>
          <w:i/>
          <w:sz w:val="18"/>
          <w:szCs w:val="18"/>
        </w:rPr>
        <w:t>Acad</w:t>
      </w:r>
      <w:proofErr w:type="spellEnd"/>
      <w:r w:rsidRPr="00AF2109">
        <w:rPr>
          <w:rFonts w:ascii="Arial" w:hAnsi="Arial" w:cs="Arial"/>
          <w:i/>
          <w:sz w:val="18"/>
          <w:szCs w:val="18"/>
        </w:rPr>
        <w:t xml:space="preserve"> </w:t>
      </w:r>
      <w:proofErr w:type="spellStart"/>
      <w:r w:rsidRPr="00AF2109">
        <w:rPr>
          <w:rFonts w:ascii="Arial" w:hAnsi="Arial" w:cs="Arial"/>
          <w:i/>
          <w:sz w:val="18"/>
          <w:szCs w:val="18"/>
        </w:rPr>
        <w:t>Med</w:t>
      </w:r>
      <w:proofErr w:type="spellEnd"/>
      <w:r w:rsidRPr="00AF2109">
        <w:rPr>
          <w:rFonts w:ascii="Arial" w:hAnsi="Arial" w:cs="Arial"/>
          <w:sz w:val="18"/>
          <w:szCs w:val="18"/>
        </w:rPr>
        <w:t>, vol. 70(7), pp.620–641.</w:t>
      </w:r>
    </w:p>
  </w:footnote>
  <w:footnote w:id="84">
    <w:p w:rsidR="00AA6A2C" w:rsidRPr="00AF2109" w:rsidRDefault="00AA6A2C"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Querido </w:t>
      </w:r>
      <w:r w:rsidRPr="00AF2109">
        <w:rPr>
          <w:rFonts w:ascii="Arial" w:hAnsi="Arial" w:cs="Arial"/>
          <w:i/>
          <w:sz w:val="18"/>
          <w:szCs w:val="18"/>
        </w:rPr>
        <w:t>et al</w:t>
      </w:r>
      <w:r w:rsidRPr="00AF2109">
        <w:rPr>
          <w:rFonts w:ascii="Arial" w:hAnsi="Arial" w:cs="Arial"/>
          <w:sz w:val="18"/>
          <w:szCs w:val="18"/>
        </w:rPr>
        <w:t xml:space="preserve"> (2016), </w:t>
      </w:r>
      <w:proofErr w:type="spellStart"/>
      <w:r w:rsidRPr="00AF2109">
        <w:rPr>
          <w:rFonts w:ascii="Arial" w:hAnsi="Arial" w:cs="Arial"/>
          <w:i/>
          <w:sz w:val="18"/>
          <w:szCs w:val="18"/>
        </w:rPr>
        <w:t>op</w:t>
      </w:r>
      <w:proofErr w:type="spellEnd"/>
      <w:r w:rsidRPr="00AF2109">
        <w:rPr>
          <w:rFonts w:ascii="Arial" w:hAnsi="Arial" w:cs="Arial"/>
          <w:i/>
          <w:sz w:val="18"/>
          <w:szCs w:val="18"/>
        </w:rPr>
        <w:t>. cit</w:t>
      </w:r>
      <w:r w:rsidRPr="00AF2109">
        <w:rPr>
          <w:rFonts w:ascii="Arial" w:hAnsi="Arial" w:cs="Arial"/>
          <w:sz w:val="18"/>
          <w:szCs w:val="18"/>
        </w:rPr>
        <w:t>., p. 20.</w:t>
      </w:r>
    </w:p>
  </w:footnote>
  <w:footnote w:id="85">
    <w:p w:rsidR="00AA6A2C" w:rsidRPr="00E07E4C" w:rsidRDefault="00AA6A2C" w:rsidP="00E94E74">
      <w:pPr>
        <w:pStyle w:val="Textonotapie"/>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Rodríguez, R. (1989) Metodología para el análisis demográfico de la eficiencia terminal, la deserción y el rezago escolar. En “</w:t>
      </w:r>
      <w:r w:rsidRPr="00E07E4C">
        <w:rPr>
          <w:rFonts w:ascii="Arial" w:hAnsi="Arial" w:cs="Arial"/>
          <w:i/>
          <w:sz w:val="18"/>
          <w:szCs w:val="18"/>
        </w:rPr>
        <w:t>La trayectoria escolar en la educación superior. Panorámica de la investigación y acercamientos metodológicos</w:t>
      </w:r>
      <w:r w:rsidRPr="00E07E4C">
        <w:rPr>
          <w:rFonts w:ascii="Arial" w:hAnsi="Arial" w:cs="Arial"/>
          <w:sz w:val="18"/>
          <w:szCs w:val="18"/>
        </w:rPr>
        <w:t>” R. Santoyo (coord.) ANUIES; México, D.F. (pp. 225-280).</w:t>
      </w:r>
    </w:p>
  </w:footnote>
  <w:footnote w:id="86">
    <w:p w:rsidR="00AA6A2C" w:rsidRPr="00E07E4C" w:rsidRDefault="00AA6A2C" w:rsidP="00E94E74">
      <w:pPr>
        <w:pStyle w:val="Textonotapie"/>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w:t>
      </w:r>
      <w:proofErr w:type="spellStart"/>
      <w:r w:rsidRPr="005075F2">
        <w:rPr>
          <w:rFonts w:ascii="Arial" w:hAnsi="Arial" w:cs="Arial"/>
          <w:sz w:val="18"/>
          <w:szCs w:val="18"/>
        </w:rPr>
        <w:t>Graue</w:t>
      </w:r>
      <w:proofErr w:type="spellEnd"/>
      <w:r w:rsidRPr="005075F2">
        <w:rPr>
          <w:rFonts w:ascii="Arial" w:hAnsi="Arial" w:cs="Arial"/>
          <w:sz w:val="18"/>
          <w:szCs w:val="18"/>
        </w:rPr>
        <w:t>, E. (2015). Posicionamiento de la Academia Nacional de Medicina. En Fajardo, G., Santacruz, J. y C. Lavalle (</w:t>
      </w:r>
      <w:proofErr w:type="spellStart"/>
      <w:r w:rsidRPr="005075F2">
        <w:rPr>
          <w:rFonts w:ascii="Arial" w:hAnsi="Arial" w:cs="Arial"/>
          <w:sz w:val="18"/>
          <w:szCs w:val="18"/>
        </w:rPr>
        <w:t>Coords</w:t>
      </w:r>
      <w:proofErr w:type="spellEnd"/>
      <w:r w:rsidRPr="005075F2">
        <w:rPr>
          <w:rFonts w:ascii="Arial" w:hAnsi="Arial" w:cs="Arial"/>
          <w:sz w:val="18"/>
          <w:szCs w:val="18"/>
        </w:rPr>
        <w:t>.), La formación de médicos especialistas en México. Documento de postura (pp. 235-243</w:t>
      </w:r>
    </w:p>
  </w:footnote>
  <w:footnote w:id="87">
    <w:p w:rsidR="00AA6A2C" w:rsidRPr="00E07E4C" w:rsidRDefault="00AA6A2C" w:rsidP="00E94E74">
      <w:pPr>
        <w:pStyle w:val="Textonotapie"/>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Fajardo (2015), </w:t>
      </w:r>
      <w:proofErr w:type="spellStart"/>
      <w:r w:rsidRPr="00E07E4C">
        <w:rPr>
          <w:rFonts w:ascii="Arial" w:hAnsi="Arial" w:cs="Arial"/>
          <w:i/>
          <w:sz w:val="18"/>
          <w:szCs w:val="18"/>
        </w:rPr>
        <w:t>op</w:t>
      </w:r>
      <w:proofErr w:type="spellEnd"/>
      <w:r w:rsidRPr="00E07E4C">
        <w:rPr>
          <w:rFonts w:ascii="Arial" w:hAnsi="Arial" w:cs="Arial"/>
          <w:i/>
          <w:sz w:val="18"/>
          <w:szCs w:val="18"/>
        </w:rPr>
        <w:t>. cit.</w:t>
      </w:r>
      <w:r w:rsidRPr="00E07E4C">
        <w:rPr>
          <w:rFonts w:ascii="Arial" w:hAnsi="Arial" w:cs="Arial"/>
          <w:sz w:val="18"/>
          <w:szCs w:val="18"/>
        </w:rPr>
        <w:t>, p. 192</w:t>
      </w:r>
    </w:p>
  </w:footnote>
  <w:footnote w:id="88">
    <w:p w:rsidR="00AA6A2C" w:rsidRPr="00095941" w:rsidRDefault="00AA6A2C" w:rsidP="00E94E74">
      <w:pPr>
        <w:pStyle w:val="Textonotapie"/>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w:t>
      </w:r>
      <w:proofErr w:type="spellStart"/>
      <w:r w:rsidRPr="00095941">
        <w:rPr>
          <w:rFonts w:ascii="Arial" w:hAnsi="Arial" w:cs="Arial"/>
          <w:sz w:val="18"/>
          <w:szCs w:val="18"/>
        </w:rPr>
        <w:t>Graue</w:t>
      </w:r>
      <w:proofErr w:type="spellEnd"/>
      <w:r w:rsidRPr="00095941">
        <w:rPr>
          <w:rFonts w:ascii="Arial" w:hAnsi="Arial" w:cs="Arial"/>
          <w:sz w:val="18"/>
          <w:szCs w:val="18"/>
        </w:rPr>
        <w:t xml:space="preserve">, E. (2015). </w:t>
      </w:r>
    </w:p>
  </w:footnote>
  <w:footnote w:id="89">
    <w:p w:rsidR="00AA6A2C" w:rsidRPr="00095941" w:rsidRDefault="00AA6A2C" w:rsidP="00E94E74">
      <w:pPr>
        <w:pStyle w:val="Textonotapie"/>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Gutiérrez </w:t>
      </w:r>
      <w:r w:rsidRPr="00095941">
        <w:rPr>
          <w:rFonts w:ascii="Arial" w:hAnsi="Arial" w:cs="Arial"/>
          <w:i/>
          <w:sz w:val="18"/>
          <w:szCs w:val="18"/>
        </w:rPr>
        <w:t xml:space="preserve">et al </w:t>
      </w:r>
      <w:r w:rsidRPr="00095941">
        <w:rPr>
          <w:rFonts w:ascii="Arial" w:hAnsi="Arial" w:cs="Arial"/>
          <w:sz w:val="18"/>
          <w:szCs w:val="18"/>
        </w:rPr>
        <w:t>(2017),</w:t>
      </w:r>
      <w:r w:rsidRPr="00095941">
        <w:rPr>
          <w:rFonts w:ascii="Arial" w:hAnsi="Arial" w:cs="Arial"/>
          <w:i/>
          <w:sz w:val="18"/>
          <w:szCs w:val="18"/>
        </w:rPr>
        <w:t xml:space="preserve"> </w:t>
      </w:r>
      <w:proofErr w:type="spellStart"/>
      <w:r w:rsidRPr="00095941">
        <w:rPr>
          <w:rFonts w:ascii="Arial" w:hAnsi="Arial" w:cs="Arial"/>
          <w:i/>
          <w:sz w:val="18"/>
          <w:szCs w:val="18"/>
        </w:rPr>
        <w:t>op</w:t>
      </w:r>
      <w:proofErr w:type="spellEnd"/>
      <w:r w:rsidRPr="00095941">
        <w:rPr>
          <w:rFonts w:ascii="Arial" w:hAnsi="Arial" w:cs="Arial"/>
          <w:i/>
          <w:sz w:val="18"/>
          <w:szCs w:val="18"/>
        </w:rPr>
        <w:t>. cit.,</w:t>
      </w:r>
      <w:r w:rsidRPr="00095941">
        <w:rPr>
          <w:rFonts w:ascii="Arial" w:hAnsi="Arial" w:cs="Arial"/>
          <w:sz w:val="18"/>
          <w:szCs w:val="18"/>
        </w:rPr>
        <w:t xml:space="preserve"> p. 212</w:t>
      </w:r>
    </w:p>
  </w:footnote>
  <w:footnote w:id="90">
    <w:p w:rsidR="00AA6A2C" w:rsidRPr="00095941" w:rsidRDefault="00AA6A2C" w:rsidP="00E94E74">
      <w:pPr>
        <w:pStyle w:val="Textonotapie"/>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Fajardo </w:t>
      </w:r>
      <w:r w:rsidRPr="00095941">
        <w:rPr>
          <w:rFonts w:ascii="Arial" w:hAnsi="Arial" w:cs="Arial"/>
          <w:i/>
          <w:sz w:val="18"/>
          <w:szCs w:val="18"/>
        </w:rPr>
        <w:t>et al</w:t>
      </w:r>
      <w:r w:rsidRPr="00095941">
        <w:rPr>
          <w:rFonts w:ascii="Arial" w:hAnsi="Arial" w:cs="Arial"/>
          <w:sz w:val="18"/>
          <w:szCs w:val="18"/>
        </w:rPr>
        <w:t xml:space="preserve"> (2015), </w:t>
      </w:r>
      <w:proofErr w:type="spellStart"/>
      <w:r w:rsidRPr="00095941">
        <w:rPr>
          <w:rFonts w:ascii="Arial" w:hAnsi="Arial" w:cs="Arial"/>
          <w:i/>
          <w:sz w:val="18"/>
          <w:szCs w:val="18"/>
        </w:rPr>
        <w:t>op</w:t>
      </w:r>
      <w:proofErr w:type="spellEnd"/>
      <w:r w:rsidRPr="00095941">
        <w:rPr>
          <w:rFonts w:ascii="Arial" w:hAnsi="Arial" w:cs="Arial"/>
          <w:i/>
          <w:sz w:val="18"/>
          <w:szCs w:val="18"/>
        </w:rPr>
        <w:t>. cit.</w:t>
      </w:r>
      <w:r w:rsidRPr="00095941">
        <w:rPr>
          <w:rFonts w:ascii="Arial" w:hAnsi="Arial" w:cs="Arial"/>
          <w:sz w:val="18"/>
          <w:szCs w:val="18"/>
        </w:rPr>
        <w:t>, p. 44.</w:t>
      </w:r>
    </w:p>
  </w:footnote>
  <w:footnote w:id="91">
    <w:p w:rsidR="00AA6A2C" w:rsidRPr="002D6D20" w:rsidRDefault="00AA6A2C"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SSA (2019), </w:t>
      </w:r>
      <w:r w:rsidRPr="002D6D20">
        <w:rPr>
          <w:rFonts w:ascii="Arial" w:hAnsi="Arial" w:cs="Arial"/>
          <w:i/>
          <w:sz w:val="18"/>
          <w:szCs w:val="18"/>
          <w:lang w:val="en-US"/>
        </w:rPr>
        <w:t>op. cit.</w:t>
      </w:r>
      <w:r w:rsidRPr="002D6D20">
        <w:rPr>
          <w:rFonts w:ascii="Arial" w:hAnsi="Arial" w:cs="Arial"/>
          <w:sz w:val="18"/>
          <w:szCs w:val="18"/>
          <w:lang w:val="en-US"/>
        </w:rPr>
        <w:t xml:space="preserve">, </w:t>
      </w:r>
      <w:proofErr w:type="spellStart"/>
      <w:r w:rsidRPr="002D6D20">
        <w:rPr>
          <w:rFonts w:ascii="Arial" w:hAnsi="Arial" w:cs="Arial"/>
          <w:sz w:val="18"/>
          <w:szCs w:val="18"/>
          <w:lang w:val="en-US"/>
        </w:rPr>
        <w:t>s.p</w:t>
      </w:r>
      <w:proofErr w:type="spellEnd"/>
      <w:r w:rsidRPr="002D6D20">
        <w:rPr>
          <w:rFonts w:ascii="Arial" w:hAnsi="Arial" w:cs="Arial"/>
          <w:sz w:val="18"/>
          <w:szCs w:val="18"/>
          <w:lang w:val="en-US"/>
        </w:rPr>
        <w:t>.</w:t>
      </w:r>
    </w:p>
  </w:footnote>
  <w:footnote w:id="92">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(2018),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xml:space="preserve">., </w:t>
      </w:r>
      <w:proofErr w:type="spellStart"/>
      <w:r w:rsidRPr="002D6D20">
        <w:rPr>
          <w:rFonts w:ascii="Arial" w:hAnsi="Arial" w:cs="Arial"/>
          <w:sz w:val="18"/>
          <w:szCs w:val="18"/>
        </w:rPr>
        <w:t>s.p.</w:t>
      </w:r>
      <w:proofErr w:type="spellEnd"/>
    </w:p>
  </w:footnote>
  <w:footnote w:id="93">
    <w:p w:rsidR="00AA6A2C" w:rsidRPr="000328F2"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2D6D20">
        <w:rPr>
          <w:rFonts w:ascii="Arial" w:hAnsi="Arial" w:cs="Arial"/>
          <w:i/>
          <w:sz w:val="18"/>
          <w:szCs w:val="18"/>
        </w:rPr>
        <w:t>et al</w:t>
      </w:r>
      <w:r w:rsidRPr="002D6D20">
        <w:rPr>
          <w:rFonts w:ascii="Arial" w:hAnsi="Arial" w:cs="Arial"/>
          <w:sz w:val="18"/>
          <w:szCs w:val="18"/>
        </w:rPr>
        <w:t xml:space="preserve"> </w:t>
      </w:r>
      <w:r w:rsidRPr="000328F2">
        <w:rPr>
          <w:rFonts w:ascii="Arial" w:hAnsi="Arial" w:cs="Arial"/>
          <w:sz w:val="18"/>
          <w:szCs w:val="18"/>
        </w:rPr>
        <w:t xml:space="preserve">(2015), </w:t>
      </w:r>
      <w:proofErr w:type="spellStart"/>
      <w:r w:rsidRPr="000328F2">
        <w:rPr>
          <w:rFonts w:ascii="Arial" w:hAnsi="Arial" w:cs="Arial"/>
          <w:i/>
          <w:sz w:val="18"/>
          <w:szCs w:val="18"/>
        </w:rPr>
        <w:t>op</w:t>
      </w:r>
      <w:proofErr w:type="spellEnd"/>
      <w:r w:rsidRPr="000328F2">
        <w:rPr>
          <w:rFonts w:ascii="Arial" w:hAnsi="Arial" w:cs="Arial"/>
          <w:i/>
          <w:sz w:val="18"/>
          <w:szCs w:val="18"/>
        </w:rPr>
        <w:t>. cit.</w:t>
      </w:r>
      <w:r w:rsidRPr="000328F2">
        <w:rPr>
          <w:rFonts w:ascii="Arial" w:hAnsi="Arial" w:cs="Arial"/>
          <w:sz w:val="18"/>
          <w:szCs w:val="18"/>
        </w:rPr>
        <w:t>, p. 33</w:t>
      </w:r>
    </w:p>
  </w:footnote>
  <w:footnote w:id="94">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0328F2">
        <w:rPr>
          <w:rFonts w:ascii="Arial" w:hAnsi="Arial" w:cs="Arial"/>
          <w:sz w:val="18"/>
          <w:szCs w:val="18"/>
        </w:rPr>
        <w:t xml:space="preserve"> </w:t>
      </w:r>
      <w:proofErr w:type="spellStart"/>
      <w:r w:rsidRPr="000328F2">
        <w:rPr>
          <w:rFonts w:ascii="Arial" w:hAnsi="Arial" w:cs="Arial"/>
          <w:sz w:val="18"/>
          <w:szCs w:val="18"/>
        </w:rPr>
        <w:t>Heinze</w:t>
      </w:r>
      <w:proofErr w:type="spellEnd"/>
      <w:r w:rsidRPr="000328F2">
        <w:rPr>
          <w:rFonts w:ascii="Arial" w:hAnsi="Arial" w:cs="Arial"/>
          <w:sz w:val="18"/>
          <w:szCs w:val="18"/>
        </w:rPr>
        <w:t xml:space="preserve"> </w:t>
      </w:r>
      <w:r w:rsidRPr="000328F2">
        <w:rPr>
          <w:rFonts w:ascii="Arial" w:hAnsi="Arial" w:cs="Arial"/>
          <w:i/>
          <w:sz w:val="18"/>
          <w:szCs w:val="18"/>
        </w:rPr>
        <w:t>et al</w:t>
      </w:r>
      <w:r w:rsidRPr="000328F2">
        <w:rPr>
          <w:rFonts w:ascii="Arial" w:hAnsi="Arial" w:cs="Arial"/>
          <w:sz w:val="18"/>
          <w:szCs w:val="18"/>
        </w:rPr>
        <w:t xml:space="preserve"> </w:t>
      </w:r>
      <w:r w:rsidRPr="002D6D20">
        <w:rPr>
          <w:rFonts w:ascii="Arial" w:hAnsi="Arial" w:cs="Arial"/>
          <w:sz w:val="18"/>
          <w:szCs w:val="18"/>
        </w:rPr>
        <w:t xml:space="preserve">(2018),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p. 344</w:t>
      </w:r>
    </w:p>
  </w:footnote>
  <w:footnote w:id="95">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r w:rsidRPr="002D6D20">
        <w:rPr>
          <w:rFonts w:ascii="Arial" w:hAnsi="Arial" w:cs="Arial"/>
          <w:i/>
          <w:sz w:val="18"/>
          <w:szCs w:val="18"/>
        </w:rPr>
        <w:t>Ibídem</w:t>
      </w:r>
      <w:r w:rsidRPr="002D6D20">
        <w:rPr>
          <w:rFonts w:ascii="Arial" w:hAnsi="Arial" w:cs="Arial"/>
          <w:sz w:val="18"/>
          <w:szCs w:val="18"/>
        </w:rPr>
        <w:t>.</w:t>
      </w:r>
    </w:p>
  </w:footnote>
  <w:footnote w:id="96">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9F1139">
        <w:rPr>
          <w:rFonts w:ascii="Arial" w:hAnsi="Arial" w:cs="Arial"/>
          <w:i/>
          <w:sz w:val="18"/>
          <w:szCs w:val="18"/>
        </w:rPr>
        <w:t>et al</w:t>
      </w:r>
      <w:r w:rsidRPr="002D6D20">
        <w:rPr>
          <w:rFonts w:ascii="Arial" w:hAnsi="Arial" w:cs="Arial"/>
          <w:sz w:val="18"/>
          <w:szCs w:val="18"/>
        </w:rPr>
        <w:t xml:space="preserve"> (2015), </w:t>
      </w:r>
      <w:proofErr w:type="spellStart"/>
      <w:r w:rsidRPr="002D6D20">
        <w:rPr>
          <w:rFonts w:ascii="Arial" w:hAnsi="Arial" w:cs="Arial"/>
          <w:sz w:val="18"/>
          <w:szCs w:val="18"/>
        </w:rPr>
        <w:t>op</w:t>
      </w:r>
      <w:proofErr w:type="spellEnd"/>
      <w:r w:rsidRPr="002D6D20">
        <w:rPr>
          <w:rFonts w:ascii="Arial" w:hAnsi="Arial" w:cs="Arial"/>
          <w:sz w:val="18"/>
          <w:szCs w:val="18"/>
        </w:rPr>
        <w:t>. cit., p. 31.</w:t>
      </w:r>
    </w:p>
  </w:footnote>
  <w:footnote w:id="97">
    <w:p w:rsidR="00AA6A2C" w:rsidRPr="002D6D20" w:rsidRDefault="00AA6A2C"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sz w:val="18"/>
          <w:szCs w:val="18"/>
          <w:lang w:val="en-US"/>
        </w:rPr>
        <w:t>Dussault</w:t>
      </w:r>
      <w:proofErr w:type="spellEnd"/>
      <w:r w:rsidRPr="002D6D20">
        <w:rPr>
          <w:rFonts w:ascii="Arial" w:hAnsi="Arial" w:cs="Arial"/>
          <w:sz w:val="18"/>
          <w:szCs w:val="18"/>
          <w:lang w:val="en-US"/>
        </w:rPr>
        <w:t xml:space="preserve">, G., </w:t>
      </w:r>
      <w:proofErr w:type="spellStart"/>
      <w:r w:rsidRPr="002D6D20">
        <w:rPr>
          <w:rFonts w:ascii="Arial" w:hAnsi="Arial" w:cs="Arial"/>
          <w:sz w:val="18"/>
          <w:szCs w:val="18"/>
          <w:lang w:val="en-US"/>
        </w:rPr>
        <w:t>Franceschini</w:t>
      </w:r>
      <w:proofErr w:type="spellEnd"/>
      <w:r w:rsidRPr="002D6D20">
        <w:rPr>
          <w:rFonts w:ascii="Arial" w:hAnsi="Arial" w:cs="Arial"/>
          <w:sz w:val="18"/>
          <w:szCs w:val="18"/>
          <w:lang w:val="en-US"/>
        </w:rPr>
        <w:t xml:space="preserve">, M. (2006). Not enough there, too many here: understanding geographical imbalances in the distribution of the health workforce. </w:t>
      </w:r>
      <w:r w:rsidRPr="002D6D20">
        <w:rPr>
          <w:rFonts w:ascii="Arial" w:hAnsi="Arial" w:cs="Arial"/>
          <w:i/>
          <w:sz w:val="18"/>
          <w:szCs w:val="18"/>
          <w:lang w:val="en-US"/>
        </w:rPr>
        <w:t>Human Resources for Health</w:t>
      </w:r>
      <w:r w:rsidRPr="002D6D20">
        <w:rPr>
          <w:rFonts w:ascii="Arial" w:hAnsi="Arial" w:cs="Arial"/>
          <w:sz w:val="18"/>
          <w:szCs w:val="18"/>
          <w:lang w:val="en-US"/>
        </w:rPr>
        <w:t>, vol. 4 (12), pp. 1-16.</w:t>
      </w:r>
    </w:p>
  </w:footnote>
  <w:footnote w:id="98">
    <w:p w:rsidR="00AA6A2C" w:rsidRPr="002D6D20" w:rsidRDefault="00AA6A2C"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i/>
          <w:sz w:val="18"/>
          <w:szCs w:val="18"/>
          <w:lang w:val="en-US"/>
        </w:rPr>
        <w:t>Ibídem</w:t>
      </w:r>
      <w:proofErr w:type="spellEnd"/>
      <w:r w:rsidRPr="002D6D20">
        <w:rPr>
          <w:rFonts w:ascii="Arial" w:hAnsi="Arial" w:cs="Arial"/>
          <w:sz w:val="18"/>
          <w:szCs w:val="18"/>
          <w:lang w:val="en-US"/>
        </w:rPr>
        <w:t>.</w:t>
      </w:r>
    </w:p>
  </w:footnote>
  <w:footnote w:id="99">
    <w:p w:rsidR="00AA6A2C" w:rsidRPr="002D6D20" w:rsidRDefault="00AA6A2C"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sz w:val="18"/>
          <w:szCs w:val="18"/>
          <w:lang w:val="en-US"/>
        </w:rPr>
        <w:t>Ruelas</w:t>
      </w:r>
      <w:proofErr w:type="spellEnd"/>
      <w:r w:rsidRPr="002D6D20">
        <w:rPr>
          <w:rFonts w:ascii="Arial" w:hAnsi="Arial" w:cs="Arial"/>
          <w:sz w:val="18"/>
          <w:szCs w:val="18"/>
          <w:lang w:val="en-US"/>
        </w:rPr>
        <w:t xml:space="preserve">, E., Alonso, A. (2015). </w:t>
      </w:r>
      <w:r w:rsidRPr="002D6D20">
        <w:rPr>
          <w:rFonts w:ascii="Arial" w:hAnsi="Arial" w:cs="Arial"/>
          <w:sz w:val="18"/>
          <w:szCs w:val="18"/>
        </w:rPr>
        <w:t xml:space="preserve">Imágenes generales sobre la posible evolución futura de las especialidades médicas. En </w:t>
      </w:r>
      <w:r w:rsidRPr="002D6D20">
        <w:rPr>
          <w:rFonts w:ascii="Arial" w:hAnsi="Arial" w:cs="Arial"/>
          <w:i/>
          <w:sz w:val="18"/>
          <w:szCs w:val="18"/>
        </w:rPr>
        <w:t>Futuros de las especialidades médicas en México</w:t>
      </w:r>
      <w:r w:rsidRPr="002D6D20">
        <w:rPr>
          <w:rFonts w:ascii="Arial" w:hAnsi="Arial" w:cs="Arial"/>
          <w:sz w:val="18"/>
          <w:szCs w:val="18"/>
        </w:rPr>
        <w:t xml:space="preserve"> (pp. 105-122). E. Ruelas y A. Alonso (Eds.); Academia Nacional de Medicina de México y Consejo Nacional de Ciencia y Tecnología de México; Ciudad de México.</w:t>
      </w:r>
    </w:p>
  </w:footnote>
  <w:footnote w:id="100">
    <w:p w:rsidR="00AA6A2C" w:rsidRPr="002D6D20" w:rsidRDefault="00AA6A2C"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101">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Encuesta Nacional de Ocupación y Empleo (ENOE), 4to trimestre de 2018</w:t>
      </w:r>
      <w:r w:rsidRPr="002D6D20">
        <w:rPr>
          <w:rFonts w:ascii="Arial" w:hAnsi="Arial" w:cs="Arial"/>
          <w:sz w:val="18"/>
          <w:szCs w:val="18"/>
        </w:rPr>
        <w:t>. Consultado el 26/03/2019 de https://www.inegi.org.mx/programas/enoe/15ymas/default.html</w:t>
      </w:r>
    </w:p>
  </w:footnote>
  <w:footnote w:id="102">
    <w:p w:rsidR="00AA6A2C" w:rsidRPr="00CE4D30" w:rsidRDefault="00AA6A2C"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proofErr w:type="spellStart"/>
      <w:r w:rsidRPr="002D6D20">
        <w:rPr>
          <w:rFonts w:ascii="Arial" w:hAnsi="Arial" w:cs="Arial"/>
          <w:sz w:val="18"/>
          <w:szCs w:val="18"/>
        </w:rPr>
        <w:t>Nigenda</w:t>
      </w:r>
      <w:proofErr w:type="spellEnd"/>
      <w:r w:rsidRPr="002D6D20">
        <w:rPr>
          <w:rFonts w:ascii="Arial" w:hAnsi="Arial" w:cs="Arial"/>
          <w:sz w:val="18"/>
          <w:szCs w:val="18"/>
        </w:rPr>
        <w:t xml:space="preserve">, G., Alcalde, J., González, L., </w:t>
      </w:r>
      <w:proofErr w:type="spellStart"/>
      <w:r w:rsidRPr="002D6D20">
        <w:rPr>
          <w:rFonts w:ascii="Arial" w:hAnsi="Arial" w:cs="Arial"/>
          <w:sz w:val="18"/>
          <w:szCs w:val="18"/>
        </w:rPr>
        <w:t>Serván</w:t>
      </w:r>
      <w:proofErr w:type="spellEnd"/>
      <w:r w:rsidRPr="002D6D20">
        <w:rPr>
          <w:rFonts w:ascii="Arial" w:hAnsi="Arial" w:cs="Arial"/>
          <w:sz w:val="18"/>
          <w:szCs w:val="18"/>
        </w:rPr>
        <w:t xml:space="preserve">, E., García, S., Lozano, R. (2016). Eficiencia de los recursos humanos en salud: una aproximación a su análisis en México. </w:t>
      </w:r>
      <w:r w:rsidRPr="00CE4D30">
        <w:rPr>
          <w:rFonts w:ascii="Arial" w:hAnsi="Arial" w:cs="Arial"/>
          <w:i/>
          <w:sz w:val="18"/>
          <w:szCs w:val="18"/>
        </w:rPr>
        <w:t>Salud Pública de México</w:t>
      </w:r>
      <w:r w:rsidRPr="00CE4D30">
        <w:rPr>
          <w:rFonts w:ascii="Arial" w:hAnsi="Arial" w:cs="Arial"/>
          <w:sz w:val="18"/>
          <w:szCs w:val="18"/>
        </w:rPr>
        <w:t>, vol. 58 (5), pp. 533-542.</w:t>
      </w:r>
    </w:p>
  </w:footnote>
  <w:footnote w:id="103">
    <w:p w:rsidR="00AA6A2C" w:rsidRPr="002D6D20" w:rsidRDefault="00AA6A2C"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Hernández, E., Solís, R., </w:t>
      </w:r>
      <w:proofErr w:type="spellStart"/>
      <w:r w:rsidRPr="002D6D20">
        <w:rPr>
          <w:rFonts w:ascii="Arial" w:hAnsi="Arial" w:cs="Arial"/>
          <w:sz w:val="18"/>
          <w:szCs w:val="18"/>
        </w:rPr>
        <w:t>Stefanovich</w:t>
      </w:r>
      <w:proofErr w:type="spellEnd"/>
      <w:r w:rsidRPr="002D6D20">
        <w:rPr>
          <w:rFonts w:ascii="Arial" w:hAnsi="Arial" w:cs="Arial"/>
          <w:sz w:val="18"/>
          <w:szCs w:val="18"/>
        </w:rPr>
        <w:t xml:space="preserve">, A. (2012). Análisis del equilibrio entre oferta y demanda de profesionistas en el período 2001-2009. En </w:t>
      </w:r>
      <w:r w:rsidRPr="002D6D20">
        <w:rPr>
          <w:rFonts w:ascii="Arial" w:hAnsi="Arial" w:cs="Arial"/>
          <w:i/>
          <w:sz w:val="18"/>
          <w:szCs w:val="18"/>
        </w:rPr>
        <w:t>Mercado laboral de profesionistas en México. Diagnóstico (2000-2009) y prospectiva (2010-2020)</w:t>
      </w:r>
      <w:r w:rsidRPr="002D6D20">
        <w:rPr>
          <w:rFonts w:ascii="Arial" w:hAnsi="Arial" w:cs="Arial"/>
          <w:sz w:val="18"/>
          <w:szCs w:val="18"/>
        </w:rPr>
        <w:t xml:space="preserve"> (pp. 251-267), E. Hernández (Coord.). Asociación Nacional de Universidades e Instituciones de Educación Superior; Ciudad de México. </w:t>
      </w:r>
    </w:p>
  </w:footnote>
  <w:footnote w:id="104">
    <w:p w:rsidR="00AA6A2C" w:rsidRPr="002D6D20" w:rsidRDefault="00AA6A2C"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xml:space="preserve">, </w:t>
      </w:r>
      <w:proofErr w:type="spellStart"/>
      <w:r w:rsidRPr="002D6D20">
        <w:rPr>
          <w:rFonts w:ascii="Arial" w:hAnsi="Arial" w:cs="Arial"/>
          <w:sz w:val="18"/>
          <w:szCs w:val="18"/>
        </w:rPr>
        <w:t>s.p.</w:t>
      </w:r>
      <w:proofErr w:type="spellEnd"/>
    </w:p>
  </w:footnote>
  <w:footnote w:id="105">
    <w:p w:rsidR="00AA6A2C" w:rsidRDefault="00AA6A2C" w:rsidP="00E844FF">
      <w:pPr>
        <w:pStyle w:val="Textonotapie"/>
      </w:pPr>
      <w:r>
        <w:rPr>
          <w:rStyle w:val="Refdenotaalpie"/>
        </w:rPr>
        <w:footnoteRef/>
      </w:r>
      <w:r>
        <w:t xml:space="preserve"> </w:t>
      </w:r>
      <w:r w:rsidRPr="009F3F6B">
        <w:rPr>
          <w:i/>
        </w:rPr>
        <w:t>Ibídem</w:t>
      </w:r>
      <w:r>
        <w:t>.</w:t>
      </w:r>
    </w:p>
  </w:footnote>
  <w:footnote w:id="106">
    <w:p w:rsidR="00AA6A2C" w:rsidRDefault="00AA6A2C" w:rsidP="00E844FF">
      <w:pPr>
        <w:pStyle w:val="Textonotapie"/>
      </w:pPr>
      <w:r>
        <w:rPr>
          <w:rStyle w:val="Refdenotaalpie"/>
        </w:rPr>
        <w:footnoteRef/>
      </w:r>
      <w:r>
        <w:t xml:space="preserve"> </w:t>
      </w:r>
      <w:r w:rsidRPr="009F3F6B">
        <w:rPr>
          <w:i/>
        </w:rPr>
        <w:t>Ibídem</w:t>
      </w:r>
      <w:r>
        <w:t>.</w:t>
      </w:r>
    </w:p>
  </w:footnote>
  <w:footnote w:id="107">
    <w:p w:rsidR="00AA6A2C" w:rsidRPr="00F75F85" w:rsidRDefault="00AA6A2C" w:rsidP="004A55AA">
      <w:pPr>
        <w:pStyle w:val="Textonotapie"/>
        <w:ind w:left="142" w:hanging="142"/>
        <w:rPr>
          <w:sz w:val="18"/>
          <w:szCs w:val="18"/>
        </w:rPr>
      </w:pPr>
      <w:r w:rsidRPr="00F75F85">
        <w:rPr>
          <w:rStyle w:val="Refdenotaalpie"/>
          <w:rFonts w:ascii="Arial" w:hAnsi="Arial" w:cs="Arial"/>
          <w:sz w:val="18"/>
          <w:szCs w:val="18"/>
        </w:rPr>
        <w:footnoteRef/>
      </w:r>
      <w:r w:rsidRPr="00F75F85">
        <w:rPr>
          <w:sz w:val="18"/>
          <w:szCs w:val="18"/>
        </w:rPr>
        <w:t xml:space="preserve"> </w:t>
      </w:r>
      <w:r w:rsidRPr="00F75F85">
        <w:rPr>
          <w:rFonts w:ascii="Arial" w:hAnsi="Arial" w:cs="Arial"/>
          <w:sz w:val="18"/>
          <w:szCs w:val="18"/>
        </w:rPr>
        <w:t xml:space="preserve">Instituto Nacional de Salud Pública (2017). </w:t>
      </w:r>
      <w:r w:rsidRPr="00F75F85">
        <w:rPr>
          <w:rFonts w:ascii="Arial" w:hAnsi="Arial" w:cs="Arial"/>
          <w:i/>
          <w:sz w:val="18"/>
          <w:szCs w:val="18"/>
        </w:rPr>
        <w:t xml:space="preserve">Brechas en la disponibilidad de médicos y enfermeras especialistas en el sistema nacional de salud. </w:t>
      </w:r>
      <w:r w:rsidRPr="00F75F85">
        <w:rPr>
          <w:rFonts w:ascii="Arial" w:hAnsi="Arial" w:cs="Arial"/>
          <w:sz w:val="18"/>
          <w:szCs w:val="18"/>
        </w:rPr>
        <w:t>México. [En línea]. http://www.cifrhs.salud.gob.mx/site1/residencias/brechas_medico_enf_esp.pdf [Consulta el 14 de diciembre de 2018].</w:t>
      </w:r>
    </w:p>
  </w:footnote>
  <w:footnote w:id="108">
    <w:p w:rsidR="00AA6A2C" w:rsidRPr="00F066D4" w:rsidRDefault="00AA6A2C" w:rsidP="004A55AA">
      <w:pPr>
        <w:pStyle w:val="Textonotapie"/>
        <w:ind w:left="142" w:hanging="142"/>
        <w:rPr>
          <w:sz w:val="18"/>
          <w:szCs w:val="18"/>
        </w:rPr>
      </w:pPr>
      <w:r w:rsidRPr="00F066D4">
        <w:rPr>
          <w:rStyle w:val="Refdenotaalpie"/>
          <w:rFonts w:ascii="Arial" w:hAnsi="Arial" w:cs="Arial"/>
          <w:sz w:val="18"/>
          <w:szCs w:val="18"/>
        </w:rPr>
        <w:footnoteRef/>
      </w:r>
      <w:r w:rsidRPr="00F066D4">
        <w:rPr>
          <w:rFonts w:ascii="Arial" w:hAnsi="Arial" w:cs="Arial"/>
          <w:sz w:val="18"/>
          <w:szCs w:val="18"/>
        </w:rPr>
        <w:t xml:space="preserve"> </w:t>
      </w:r>
      <w:bookmarkStart w:id="0" w:name="_GoBack"/>
      <w:r w:rsidRPr="00F066D4">
        <w:rPr>
          <w:rFonts w:ascii="Arial" w:hAnsi="Arial" w:cs="Arial"/>
          <w:sz w:val="18"/>
          <w:szCs w:val="18"/>
        </w:rPr>
        <w:t xml:space="preserve">Fajardo, G. </w:t>
      </w:r>
      <w:r w:rsidRPr="00F066D4">
        <w:rPr>
          <w:rFonts w:ascii="Arial" w:hAnsi="Arial" w:cs="Arial"/>
          <w:i/>
          <w:sz w:val="18"/>
          <w:szCs w:val="18"/>
        </w:rPr>
        <w:t xml:space="preserve">et al. </w:t>
      </w:r>
      <w:r w:rsidRPr="00F066D4">
        <w:rPr>
          <w:rFonts w:ascii="Arial" w:hAnsi="Arial" w:cs="Arial"/>
          <w:sz w:val="18"/>
          <w:szCs w:val="18"/>
        </w:rPr>
        <w:t xml:space="preserve">(2015). </w:t>
      </w:r>
      <w:r w:rsidRPr="00F066D4">
        <w:rPr>
          <w:rFonts w:ascii="Arial" w:hAnsi="Arial" w:cs="Arial"/>
          <w:i/>
          <w:sz w:val="18"/>
          <w:szCs w:val="18"/>
        </w:rPr>
        <w:t xml:space="preserve">La formación de médicos especialistas en México. </w:t>
      </w:r>
      <w:r w:rsidRPr="00F066D4">
        <w:rPr>
          <w:rFonts w:ascii="Arial" w:hAnsi="Arial" w:cs="Arial"/>
          <w:sz w:val="18"/>
          <w:szCs w:val="18"/>
        </w:rPr>
        <w:t>México: Academia Nacional de Medi</w:t>
      </w:r>
      <w:bookmarkEnd w:id="0"/>
      <w:r w:rsidRPr="00F066D4">
        <w:rPr>
          <w:rFonts w:ascii="Arial" w:hAnsi="Arial" w:cs="Arial"/>
          <w:sz w:val="18"/>
          <w:szCs w:val="18"/>
        </w:rPr>
        <w:t>cina.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795948"/>
    <w:multiLevelType w:val="hybridMultilevel"/>
    <w:tmpl w:val="B7B87D6C"/>
    <w:lvl w:ilvl="0" w:tplc="B102368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AF52C99"/>
    <w:multiLevelType w:val="hybridMultilevel"/>
    <w:tmpl w:val="0208636C"/>
    <w:lvl w:ilvl="0" w:tplc="2F54F9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4B3204C"/>
    <w:multiLevelType w:val="hybridMultilevel"/>
    <w:tmpl w:val="84202FB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51C5FE6"/>
    <w:multiLevelType w:val="hybridMultilevel"/>
    <w:tmpl w:val="A00C78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60735BC0"/>
    <w:multiLevelType w:val="hybridMultilevel"/>
    <w:tmpl w:val="712C15D8"/>
    <w:lvl w:ilvl="0" w:tplc="621A0BE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5"/>
  </w:num>
  <w:num w:numId="3">
    <w:abstractNumId w:val="4"/>
  </w:num>
  <w:num w:numId="4">
    <w:abstractNumId w:val="1"/>
  </w:num>
  <w:num w:numId="5">
    <w:abstractNumId w:val="7"/>
  </w:num>
  <w:num w:numId="6">
    <w:abstractNumId w:val="3"/>
  </w:num>
  <w:num w:numId="7">
    <w:abstractNumId w:val="8"/>
  </w:num>
  <w:num w:numId="8">
    <w:abstractNumId w:val="2"/>
  </w:num>
  <w:num w:numId="9">
    <w:abstractNumId w:val="6"/>
  </w:num>
  <w:num w:numId="10">
    <w:abstractNumId w:val="9"/>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24BF"/>
    <w:rsid w:val="00006613"/>
    <w:rsid w:val="000072F7"/>
    <w:rsid w:val="00025AAE"/>
    <w:rsid w:val="00032201"/>
    <w:rsid w:val="000328F2"/>
    <w:rsid w:val="00043663"/>
    <w:rsid w:val="000463A7"/>
    <w:rsid w:val="00053DB1"/>
    <w:rsid w:val="000551A4"/>
    <w:rsid w:val="00056961"/>
    <w:rsid w:val="00063193"/>
    <w:rsid w:val="00066F76"/>
    <w:rsid w:val="00071E6F"/>
    <w:rsid w:val="00075841"/>
    <w:rsid w:val="00075C3B"/>
    <w:rsid w:val="00082F49"/>
    <w:rsid w:val="00095941"/>
    <w:rsid w:val="000A626E"/>
    <w:rsid w:val="000B7BD1"/>
    <w:rsid w:val="000D35A1"/>
    <w:rsid w:val="000E18B4"/>
    <w:rsid w:val="000E19B0"/>
    <w:rsid w:val="000E4DEE"/>
    <w:rsid w:val="001017F4"/>
    <w:rsid w:val="0011232C"/>
    <w:rsid w:val="001161B6"/>
    <w:rsid w:val="00143352"/>
    <w:rsid w:val="001535BB"/>
    <w:rsid w:val="00167C0E"/>
    <w:rsid w:val="0017424F"/>
    <w:rsid w:val="00190F19"/>
    <w:rsid w:val="001A4EE8"/>
    <w:rsid w:val="001B5C0D"/>
    <w:rsid w:val="001B5D03"/>
    <w:rsid w:val="001C4F2A"/>
    <w:rsid w:val="001D1A17"/>
    <w:rsid w:val="001D3782"/>
    <w:rsid w:val="001D6464"/>
    <w:rsid w:val="001E1A7D"/>
    <w:rsid w:val="001E47F9"/>
    <w:rsid w:val="001F74E0"/>
    <w:rsid w:val="00212125"/>
    <w:rsid w:val="0022194C"/>
    <w:rsid w:val="002247B4"/>
    <w:rsid w:val="00226B76"/>
    <w:rsid w:val="002409D1"/>
    <w:rsid w:val="00247FAF"/>
    <w:rsid w:val="00251196"/>
    <w:rsid w:val="00255E84"/>
    <w:rsid w:val="0026331C"/>
    <w:rsid w:val="00264172"/>
    <w:rsid w:val="00265088"/>
    <w:rsid w:val="002740C6"/>
    <w:rsid w:val="002832EC"/>
    <w:rsid w:val="00284D5A"/>
    <w:rsid w:val="002853F8"/>
    <w:rsid w:val="00295687"/>
    <w:rsid w:val="002969C7"/>
    <w:rsid w:val="002A2B5F"/>
    <w:rsid w:val="002B1539"/>
    <w:rsid w:val="002B6765"/>
    <w:rsid w:val="002C1AC6"/>
    <w:rsid w:val="002C3B99"/>
    <w:rsid w:val="002C5A07"/>
    <w:rsid w:val="002D6D20"/>
    <w:rsid w:val="002E568D"/>
    <w:rsid w:val="002E5E7C"/>
    <w:rsid w:val="002E7B3C"/>
    <w:rsid w:val="00303396"/>
    <w:rsid w:val="003136C8"/>
    <w:rsid w:val="0032506D"/>
    <w:rsid w:val="00330BA9"/>
    <w:rsid w:val="00333806"/>
    <w:rsid w:val="00333BD8"/>
    <w:rsid w:val="00334E5E"/>
    <w:rsid w:val="00336BCF"/>
    <w:rsid w:val="0034209C"/>
    <w:rsid w:val="00344BD2"/>
    <w:rsid w:val="003547E4"/>
    <w:rsid w:val="0036094B"/>
    <w:rsid w:val="00367379"/>
    <w:rsid w:val="003828EF"/>
    <w:rsid w:val="00382DD9"/>
    <w:rsid w:val="00385463"/>
    <w:rsid w:val="0039118B"/>
    <w:rsid w:val="00396A81"/>
    <w:rsid w:val="003B025A"/>
    <w:rsid w:val="003B69F3"/>
    <w:rsid w:val="003C138F"/>
    <w:rsid w:val="003C233F"/>
    <w:rsid w:val="003C287F"/>
    <w:rsid w:val="003C7AF5"/>
    <w:rsid w:val="003D3C6B"/>
    <w:rsid w:val="003D4962"/>
    <w:rsid w:val="003E1A49"/>
    <w:rsid w:val="003E5F2A"/>
    <w:rsid w:val="00400088"/>
    <w:rsid w:val="00412EB8"/>
    <w:rsid w:val="00414C05"/>
    <w:rsid w:val="00437C1D"/>
    <w:rsid w:val="004468C6"/>
    <w:rsid w:val="00456602"/>
    <w:rsid w:val="00456F45"/>
    <w:rsid w:val="004727D4"/>
    <w:rsid w:val="00496EA2"/>
    <w:rsid w:val="004A107D"/>
    <w:rsid w:val="004A55AA"/>
    <w:rsid w:val="004B7734"/>
    <w:rsid w:val="004C364E"/>
    <w:rsid w:val="004C3683"/>
    <w:rsid w:val="004C7871"/>
    <w:rsid w:val="004E4CD6"/>
    <w:rsid w:val="004F391F"/>
    <w:rsid w:val="0050349E"/>
    <w:rsid w:val="005075F2"/>
    <w:rsid w:val="00525C65"/>
    <w:rsid w:val="00526E8D"/>
    <w:rsid w:val="00545376"/>
    <w:rsid w:val="0055035B"/>
    <w:rsid w:val="00552393"/>
    <w:rsid w:val="00561E8B"/>
    <w:rsid w:val="00570FB9"/>
    <w:rsid w:val="00577F0A"/>
    <w:rsid w:val="00593C12"/>
    <w:rsid w:val="005968A3"/>
    <w:rsid w:val="00596B13"/>
    <w:rsid w:val="005A3868"/>
    <w:rsid w:val="005B288B"/>
    <w:rsid w:val="005B4C39"/>
    <w:rsid w:val="005B6CA1"/>
    <w:rsid w:val="005D0A1E"/>
    <w:rsid w:val="005D7A81"/>
    <w:rsid w:val="005F4031"/>
    <w:rsid w:val="00603BE8"/>
    <w:rsid w:val="00613B49"/>
    <w:rsid w:val="0061639B"/>
    <w:rsid w:val="00635921"/>
    <w:rsid w:val="00636985"/>
    <w:rsid w:val="00645D73"/>
    <w:rsid w:val="006535D3"/>
    <w:rsid w:val="0065778B"/>
    <w:rsid w:val="0066380B"/>
    <w:rsid w:val="006667D9"/>
    <w:rsid w:val="0068458F"/>
    <w:rsid w:val="00684A82"/>
    <w:rsid w:val="006A0F5B"/>
    <w:rsid w:val="006A2E9D"/>
    <w:rsid w:val="006A7CFA"/>
    <w:rsid w:val="006B0A8A"/>
    <w:rsid w:val="006D1C86"/>
    <w:rsid w:val="006D56B3"/>
    <w:rsid w:val="006D6265"/>
    <w:rsid w:val="006E69B6"/>
    <w:rsid w:val="006E7C0A"/>
    <w:rsid w:val="006F75DB"/>
    <w:rsid w:val="007071CE"/>
    <w:rsid w:val="0071367C"/>
    <w:rsid w:val="007170D9"/>
    <w:rsid w:val="00725113"/>
    <w:rsid w:val="007407E4"/>
    <w:rsid w:val="00775C00"/>
    <w:rsid w:val="00777300"/>
    <w:rsid w:val="007B4467"/>
    <w:rsid w:val="007B7468"/>
    <w:rsid w:val="007D0ABD"/>
    <w:rsid w:val="007D271D"/>
    <w:rsid w:val="007E1312"/>
    <w:rsid w:val="007E2B99"/>
    <w:rsid w:val="00805DD2"/>
    <w:rsid w:val="00806FC7"/>
    <w:rsid w:val="008216E3"/>
    <w:rsid w:val="0082403C"/>
    <w:rsid w:val="008266B7"/>
    <w:rsid w:val="00827CB2"/>
    <w:rsid w:val="00831454"/>
    <w:rsid w:val="00831EF0"/>
    <w:rsid w:val="00837CCA"/>
    <w:rsid w:val="00841353"/>
    <w:rsid w:val="008611C2"/>
    <w:rsid w:val="00886A3F"/>
    <w:rsid w:val="00893C69"/>
    <w:rsid w:val="008A08A7"/>
    <w:rsid w:val="008B38E4"/>
    <w:rsid w:val="008D5C27"/>
    <w:rsid w:val="008E007C"/>
    <w:rsid w:val="008E4D2C"/>
    <w:rsid w:val="00905371"/>
    <w:rsid w:val="009145A0"/>
    <w:rsid w:val="0092117C"/>
    <w:rsid w:val="009216C5"/>
    <w:rsid w:val="009265CB"/>
    <w:rsid w:val="00926F11"/>
    <w:rsid w:val="00931745"/>
    <w:rsid w:val="00936774"/>
    <w:rsid w:val="009467EE"/>
    <w:rsid w:val="009521D4"/>
    <w:rsid w:val="00955DAF"/>
    <w:rsid w:val="009566F6"/>
    <w:rsid w:val="009604E3"/>
    <w:rsid w:val="009663D0"/>
    <w:rsid w:val="00993DF6"/>
    <w:rsid w:val="00994730"/>
    <w:rsid w:val="009B0A6F"/>
    <w:rsid w:val="009B3D47"/>
    <w:rsid w:val="009C2DF8"/>
    <w:rsid w:val="009C5BC9"/>
    <w:rsid w:val="009C76FA"/>
    <w:rsid w:val="009D00E1"/>
    <w:rsid w:val="009D182F"/>
    <w:rsid w:val="009D3081"/>
    <w:rsid w:val="009F1139"/>
    <w:rsid w:val="009F3190"/>
    <w:rsid w:val="009F3C46"/>
    <w:rsid w:val="009F3CA1"/>
    <w:rsid w:val="00A0348F"/>
    <w:rsid w:val="00A24941"/>
    <w:rsid w:val="00A330B8"/>
    <w:rsid w:val="00A34CFE"/>
    <w:rsid w:val="00A40033"/>
    <w:rsid w:val="00A40A9E"/>
    <w:rsid w:val="00A51FF5"/>
    <w:rsid w:val="00A53AF4"/>
    <w:rsid w:val="00A54C4D"/>
    <w:rsid w:val="00A732A1"/>
    <w:rsid w:val="00A75077"/>
    <w:rsid w:val="00A7554D"/>
    <w:rsid w:val="00A82579"/>
    <w:rsid w:val="00A87809"/>
    <w:rsid w:val="00A909D5"/>
    <w:rsid w:val="00AA24F9"/>
    <w:rsid w:val="00AA44B6"/>
    <w:rsid w:val="00AA5FA1"/>
    <w:rsid w:val="00AA6A2C"/>
    <w:rsid w:val="00AB06A4"/>
    <w:rsid w:val="00AB37A8"/>
    <w:rsid w:val="00AB51CF"/>
    <w:rsid w:val="00AD140B"/>
    <w:rsid w:val="00AD6133"/>
    <w:rsid w:val="00AD7EC7"/>
    <w:rsid w:val="00AE48B3"/>
    <w:rsid w:val="00AE72B5"/>
    <w:rsid w:val="00AF2109"/>
    <w:rsid w:val="00AF2FC2"/>
    <w:rsid w:val="00B00D67"/>
    <w:rsid w:val="00B0344A"/>
    <w:rsid w:val="00B052C1"/>
    <w:rsid w:val="00B12CF9"/>
    <w:rsid w:val="00B1790F"/>
    <w:rsid w:val="00B25185"/>
    <w:rsid w:val="00B36B17"/>
    <w:rsid w:val="00B418B4"/>
    <w:rsid w:val="00B525E9"/>
    <w:rsid w:val="00B60366"/>
    <w:rsid w:val="00B6268C"/>
    <w:rsid w:val="00B65400"/>
    <w:rsid w:val="00B71F99"/>
    <w:rsid w:val="00B71FFC"/>
    <w:rsid w:val="00B81B5F"/>
    <w:rsid w:val="00B833EB"/>
    <w:rsid w:val="00B84C0A"/>
    <w:rsid w:val="00B872BB"/>
    <w:rsid w:val="00B97C2A"/>
    <w:rsid w:val="00BA2117"/>
    <w:rsid w:val="00BB156F"/>
    <w:rsid w:val="00BB6B78"/>
    <w:rsid w:val="00BB7A5C"/>
    <w:rsid w:val="00BC5126"/>
    <w:rsid w:val="00BD697D"/>
    <w:rsid w:val="00BE0125"/>
    <w:rsid w:val="00BF11B2"/>
    <w:rsid w:val="00C04120"/>
    <w:rsid w:val="00C150F3"/>
    <w:rsid w:val="00C234CD"/>
    <w:rsid w:val="00C4058E"/>
    <w:rsid w:val="00C51F90"/>
    <w:rsid w:val="00C56D65"/>
    <w:rsid w:val="00C80D67"/>
    <w:rsid w:val="00C86F7D"/>
    <w:rsid w:val="00CA2E06"/>
    <w:rsid w:val="00CB0602"/>
    <w:rsid w:val="00CB55C7"/>
    <w:rsid w:val="00CC2B32"/>
    <w:rsid w:val="00CC5AA9"/>
    <w:rsid w:val="00CC6713"/>
    <w:rsid w:val="00CD01E8"/>
    <w:rsid w:val="00CD282B"/>
    <w:rsid w:val="00CD4E4C"/>
    <w:rsid w:val="00CE4425"/>
    <w:rsid w:val="00CE4D30"/>
    <w:rsid w:val="00D203BC"/>
    <w:rsid w:val="00D26218"/>
    <w:rsid w:val="00D27BBB"/>
    <w:rsid w:val="00D33353"/>
    <w:rsid w:val="00D360F6"/>
    <w:rsid w:val="00D4730B"/>
    <w:rsid w:val="00D478F0"/>
    <w:rsid w:val="00D57F9D"/>
    <w:rsid w:val="00D6078D"/>
    <w:rsid w:val="00D62B0B"/>
    <w:rsid w:val="00D77E3E"/>
    <w:rsid w:val="00D77FF4"/>
    <w:rsid w:val="00D862CA"/>
    <w:rsid w:val="00D91DE2"/>
    <w:rsid w:val="00D95763"/>
    <w:rsid w:val="00DA1375"/>
    <w:rsid w:val="00DB4549"/>
    <w:rsid w:val="00DD00EF"/>
    <w:rsid w:val="00DF4B71"/>
    <w:rsid w:val="00E00B98"/>
    <w:rsid w:val="00E07C91"/>
    <w:rsid w:val="00E07E4C"/>
    <w:rsid w:val="00E10DBF"/>
    <w:rsid w:val="00E1171A"/>
    <w:rsid w:val="00E1329F"/>
    <w:rsid w:val="00E14942"/>
    <w:rsid w:val="00E27960"/>
    <w:rsid w:val="00E34AC6"/>
    <w:rsid w:val="00E36EC4"/>
    <w:rsid w:val="00E4792E"/>
    <w:rsid w:val="00E56FD1"/>
    <w:rsid w:val="00E844FF"/>
    <w:rsid w:val="00E858F2"/>
    <w:rsid w:val="00E871C7"/>
    <w:rsid w:val="00E93154"/>
    <w:rsid w:val="00E94E74"/>
    <w:rsid w:val="00EB3F82"/>
    <w:rsid w:val="00EC2BAF"/>
    <w:rsid w:val="00ED22C8"/>
    <w:rsid w:val="00EE7462"/>
    <w:rsid w:val="00EE7491"/>
    <w:rsid w:val="00EF1338"/>
    <w:rsid w:val="00F0130A"/>
    <w:rsid w:val="00F0135F"/>
    <w:rsid w:val="00F02449"/>
    <w:rsid w:val="00F060ED"/>
    <w:rsid w:val="00F066D4"/>
    <w:rsid w:val="00F110FE"/>
    <w:rsid w:val="00F16767"/>
    <w:rsid w:val="00F24081"/>
    <w:rsid w:val="00F24825"/>
    <w:rsid w:val="00F3099B"/>
    <w:rsid w:val="00F32152"/>
    <w:rsid w:val="00F325F4"/>
    <w:rsid w:val="00F34C2E"/>
    <w:rsid w:val="00F365F3"/>
    <w:rsid w:val="00F36A25"/>
    <w:rsid w:val="00F55062"/>
    <w:rsid w:val="00F64152"/>
    <w:rsid w:val="00F65085"/>
    <w:rsid w:val="00F66264"/>
    <w:rsid w:val="00F75F85"/>
    <w:rsid w:val="00F84BC2"/>
    <w:rsid w:val="00F8627B"/>
    <w:rsid w:val="00F87234"/>
    <w:rsid w:val="00F91681"/>
    <w:rsid w:val="00F934E1"/>
    <w:rsid w:val="00F9539F"/>
    <w:rsid w:val="00FA08CE"/>
    <w:rsid w:val="00FB4190"/>
    <w:rsid w:val="00FC0100"/>
    <w:rsid w:val="00FC7B12"/>
    <w:rsid w:val="00FD54E3"/>
    <w:rsid w:val="00FF6B6A"/>
    <w:rsid w:val="00FF7B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A29E23"/>
  <w15:chartTrackingRefBased/>
  <w15:docId w15:val="{F07B62E7-5D87-4794-B9B3-8D539EB73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customStyle="1" w:styleId="Texto">
    <w:name w:val="Texto"/>
    <w:basedOn w:val="Normal"/>
    <w:link w:val="TextoCar"/>
    <w:rsid w:val="00414C05"/>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414C05"/>
    <w:rPr>
      <w:rFonts w:ascii="Arial" w:eastAsia="Times New Roman" w:hAnsi="Arial" w:cs="Arial"/>
      <w:sz w:val="18"/>
      <w:szCs w:val="18"/>
      <w:lang w:val="es-ES" w:eastAsia="es-ES"/>
    </w:rPr>
  </w:style>
  <w:style w:type="table" w:styleId="Tablaconcuadrcula">
    <w:name w:val="Table Grid"/>
    <w:basedOn w:val="Tablanormal"/>
    <w:uiPriority w:val="39"/>
    <w:rsid w:val="004A55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F066D4"/>
    <w:pPr>
      <w:spacing w:after="0" w:line="240" w:lineRule="auto"/>
    </w:pPr>
  </w:style>
  <w:style w:type="paragraph" w:customStyle="1" w:styleId="Default">
    <w:name w:val="Default"/>
    <w:rsid w:val="00F066D4"/>
    <w:pPr>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iPriority w:val="99"/>
    <w:unhideWhenUsed/>
    <w:rsid w:val="000328F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328F2"/>
  </w:style>
  <w:style w:type="paragraph" w:styleId="Piedepgina">
    <w:name w:val="footer"/>
    <w:basedOn w:val="Normal"/>
    <w:link w:val="PiedepginaCar"/>
    <w:uiPriority w:val="99"/>
    <w:unhideWhenUsed/>
    <w:rsid w:val="000328F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328F2"/>
  </w:style>
  <w:style w:type="paragraph" w:styleId="Textodeglobo">
    <w:name w:val="Balloon Text"/>
    <w:basedOn w:val="Normal"/>
    <w:link w:val="TextodegloboCar"/>
    <w:uiPriority w:val="99"/>
    <w:semiHidden/>
    <w:unhideWhenUsed/>
    <w:rsid w:val="000024B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024B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296374249">
          <w:marLeft w:val="0"/>
          <w:marRight w:val="0"/>
          <w:marTop w:val="0"/>
          <w:marBottom w:val="0"/>
          <w:divBdr>
            <w:top w:val="none" w:sz="0" w:space="0" w:color="auto"/>
            <w:left w:val="none" w:sz="0" w:space="0" w:color="auto"/>
            <w:bottom w:val="none" w:sz="0" w:space="0" w:color="auto"/>
            <w:right w:val="none" w:sz="0" w:space="0" w:color="auto"/>
          </w:divBdr>
        </w:div>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8.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7.xm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D:\Users\ad014629\Downloads\pob_mit_proyecciones%20(2).csv"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Users\ad014629\Documents\envejecimiento_CDMX.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Users\ad014629\Documents\morbilidad_201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wnloads\DP_LIVE_15032019000600520.csv"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3.xml"/><Relationship Id="rId1"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88B7-461C-A234-26A2FC12DC6D}"/>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88B7-461C-A234-26A2FC12DC6D}"/>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88B7-461C-A234-26A2FC12DC6D}"/>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88B7-461C-A234-26A2FC12DC6D}"/>
            </c:ext>
          </c:extLst>
        </c:ser>
        <c:dLbls>
          <c:showLegendKey val="0"/>
          <c:showVal val="0"/>
          <c:showCatName val="0"/>
          <c:showSerName val="0"/>
          <c:showPercent val="0"/>
          <c:showBubbleSize val="0"/>
        </c:dLbls>
        <c:gapWidth val="0"/>
        <c:overlap val="100"/>
        <c:axId val="190813552"/>
        <c:axId val="190812992"/>
      </c:barChart>
      <c:catAx>
        <c:axId val="1908135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0812992"/>
        <c:crosses val="autoZero"/>
        <c:auto val="1"/>
        <c:lblAlgn val="ctr"/>
        <c:lblOffset val="100"/>
        <c:noMultiLvlLbl val="0"/>
      </c:catAx>
      <c:valAx>
        <c:axId val="19081299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08135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9386-46B7-B949-594888856F72}"/>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9386-46B7-B949-594888856F72}"/>
            </c:ext>
          </c:extLst>
        </c:ser>
        <c:dLbls>
          <c:showLegendKey val="0"/>
          <c:showVal val="0"/>
          <c:showCatName val="0"/>
          <c:showSerName val="0"/>
          <c:showPercent val="0"/>
          <c:showBubbleSize val="0"/>
        </c:dLbls>
        <c:gapWidth val="0"/>
        <c:overlap val="100"/>
        <c:axId val="431714384"/>
        <c:axId val="431718304"/>
      </c:barChart>
      <c:catAx>
        <c:axId val="43171438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1718304"/>
        <c:crosses val="autoZero"/>
        <c:auto val="1"/>
        <c:lblAlgn val="ctr"/>
        <c:lblOffset val="100"/>
        <c:noMultiLvlLbl val="0"/>
      </c:catAx>
      <c:valAx>
        <c:axId val="43171830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171438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D99D-459A-A429-260EDC1742EF}"/>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D99D-459A-A429-260EDC1742EF}"/>
            </c:ext>
          </c:extLst>
        </c:ser>
        <c:dLbls>
          <c:showLegendKey val="0"/>
          <c:showVal val="0"/>
          <c:showCatName val="0"/>
          <c:showSerName val="0"/>
          <c:showPercent val="0"/>
          <c:showBubbleSize val="0"/>
        </c:dLbls>
        <c:gapWidth val="0"/>
        <c:overlap val="100"/>
        <c:axId val="433224288"/>
        <c:axId val="436108608"/>
      </c:barChart>
      <c:catAx>
        <c:axId val="43322428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6108608"/>
        <c:crosses val="autoZero"/>
        <c:auto val="1"/>
        <c:lblAlgn val="ctr"/>
        <c:lblOffset val="100"/>
        <c:noMultiLvlLbl val="0"/>
      </c:catAx>
      <c:valAx>
        <c:axId val="43610860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322428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DA4D-41DE-9A3A-C4A190FE236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DA4D-41DE-9A3A-C4A190FE2361}"/>
            </c:ext>
          </c:extLst>
        </c:ser>
        <c:dLbls>
          <c:showLegendKey val="0"/>
          <c:showVal val="0"/>
          <c:showCatName val="0"/>
          <c:showSerName val="0"/>
          <c:showPercent val="0"/>
          <c:showBubbleSize val="0"/>
        </c:dLbls>
        <c:smooth val="0"/>
        <c:axId val="440716384"/>
        <c:axId val="440719744"/>
      </c:lineChart>
      <c:catAx>
        <c:axId val="44071638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0719744"/>
        <c:crosses val="autoZero"/>
        <c:auto val="1"/>
        <c:lblAlgn val="ctr"/>
        <c:lblOffset val="100"/>
        <c:noMultiLvlLbl val="0"/>
      </c:catAx>
      <c:valAx>
        <c:axId val="44071974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071638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4C08-4C6E-BF53-416F1005342F}"/>
              </c:ext>
            </c:extLst>
          </c:dPt>
          <c:dPt>
            <c:idx val="25"/>
            <c:invertIfNegative val="0"/>
            <c:bubble3D val="0"/>
            <c:spPr>
              <a:solidFill>
                <a:srgbClr val="00B050"/>
              </a:solidFill>
              <a:ln>
                <a:noFill/>
              </a:ln>
              <a:effectLst/>
            </c:spPr>
            <c:extLst>
              <c:ext xmlns:c16="http://schemas.microsoft.com/office/drawing/2014/chart" uri="{C3380CC4-5D6E-409C-BE32-E72D297353CC}">
                <c16:uniqueId val="{00000003-4C08-4C6E-BF53-416F1005342F}"/>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08-4C6E-BF53-416F1005342F}"/>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08-4C6E-BF53-416F1005342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4C08-4C6E-BF53-416F1005342F}"/>
            </c:ext>
          </c:extLst>
        </c:ser>
        <c:dLbls>
          <c:showLegendKey val="0"/>
          <c:showVal val="0"/>
          <c:showCatName val="0"/>
          <c:showSerName val="0"/>
          <c:showPercent val="0"/>
          <c:showBubbleSize val="0"/>
        </c:dLbls>
        <c:gapWidth val="90"/>
        <c:overlap val="50"/>
        <c:axId val="343719456"/>
        <c:axId val="343717776"/>
      </c:barChart>
      <c:catAx>
        <c:axId val="34371945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343717776"/>
        <c:crosses val="autoZero"/>
        <c:auto val="1"/>
        <c:lblAlgn val="ctr"/>
        <c:lblOffset val="100"/>
        <c:noMultiLvlLbl val="0"/>
      </c:catAx>
      <c:valAx>
        <c:axId val="343717776"/>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34371945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Cirugías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Cirugia!$F$35:$F$57</c:f>
              <c:numCache>
                <c:formatCode>_-* #,##0_-;\-* #,##0_-;_-* "-"??_-;_-@_-</c:formatCode>
                <c:ptCount val="23"/>
                <c:pt idx="0">
                  <c:v>2805441</c:v>
                </c:pt>
                <c:pt idx="1">
                  <c:v>2860350</c:v>
                </c:pt>
                <c:pt idx="2">
                  <c:v>2870520</c:v>
                </c:pt>
                <c:pt idx="3">
                  <c:v>2926438</c:v>
                </c:pt>
                <c:pt idx="4">
                  <c:v>3008827</c:v>
                </c:pt>
                <c:pt idx="5">
                  <c:v>3130293</c:v>
                </c:pt>
                <c:pt idx="6">
                  <c:v>3155748</c:v>
                </c:pt>
                <c:pt idx="7">
                  <c:v>3199698</c:v>
                </c:pt>
                <c:pt idx="8">
                  <c:v>3395058</c:v>
                </c:pt>
                <c:pt idx="9">
                  <c:v>3424559</c:v>
                </c:pt>
                <c:pt idx="10">
                  <c:v>3477324</c:v>
                </c:pt>
                <c:pt idx="11">
                  <c:v>3618534</c:v>
                </c:pt>
                <c:pt idx="12">
                  <c:v>3637048</c:v>
                </c:pt>
                <c:pt idx="13">
                  <c:v>3648620</c:v>
                </c:pt>
                <c:pt idx="14">
                  <c:v>3711827</c:v>
                </c:pt>
                <c:pt idx="15">
                  <c:v>3610747</c:v>
                </c:pt>
                <c:pt idx="16">
                  <c:v>3718272</c:v>
                </c:pt>
              </c:numCache>
            </c:numRef>
          </c:val>
          <c:smooth val="0"/>
          <c:extLst>
            <c:ext xmlns:c16="http://schemas.microsoft.com/office/drawing/2014/chart" uri="{C3380CC4-5D6E-409C-BE32-E72D297353CC}">
              <c16:uniqueId val="{00000000-F965-43E4-A4C1-5F4A95C42F6A}"/>
            </c:ext>
          </c:extLst>
        </c:ser>
        <c:ser>
          <c:idx val="1"/>
          <c:order val="1"/>
          <c:tx>
            <c:v>Pronóstico</c:v>
          </c:tx>
          <c:spPr>
            <a:ln w="6350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Cirugia!$G$35:$G$57</c:f>
              <c:numCache>
                <c:formatCode>General</c:formatCode>
                <c:ptCount val="23"/>
                <c:pt idx="16" formatCode="_-* #,##0_-;\-* #,##0_-;_-* &quot;-&quot;??_-;_-@_-">
                  <c:v>3718272</c:v>
                </c:pt>
                <c:pt idx="17" formatCode="_-* #,##0_-;\-* #,##0_-;_-* &quot;-&quot;??_-;_-@_-">
                  <c:v>3798949.4155252497</c:v>
                </c:pt>
                <c:pt idx="18" formatCode="_-* #,##0_-;\-* #,##0_-;_-* &quot;-&quot;??_-;_-@_-">
                  <c:v>3824864.1392149283</c:v>
                </c:pt>
                <c:pt idx="19" formatCode="_-* #,##0_-;\-* #,##0_-;_-* &quot;-&quot;??_-;_-@_-">
                  <c:v>3855629.6392149283</c:v>
                </c:pt>
                <c:pt idx="20" formatCode="_-* #,##0_-;\-* #,##0_-;_-* &quot;-&quot;??_-;_-@_-">
                  <c:v>3883242.1392149283</c:v>
                </c:pt>
                <c:pt idx="21" formatCode="_-* #,##0_-;\-* #,##0_-;_-* &quot;-&quot;??_-;_-@_-">
                  <c:v>3907701.6392149283</c:v>
                </c:pt>
                <c:pt idx="22" formatCode="_-* #,##0_-;\-* #,##0_-;_-* &quot;-&quot;??_-;_-@_-">
                  <c:v>3929008.1392149283</c:v>
                </c:pt>
              </c:numCache>
            </c:numRef>
          </c:val>
          <c:smooth val="0"/>
          <c:extLst>
            <c:ext xmlns:c16="http://schemas.microsoft.com/office/drawing/2014/chart" uri="{C3380CC4-5D6E-409C-BE32-E72D297353CC}">
              <c16:uniqueId val="{00000001-F965-43E4-A4C1-5F4A95C42F6A}"/>
            </c:ext>
          </c:extLst>
        </c:ser>
        <c:ser>
          <c:idx val="2"/>
          <c:order val="2"/>
          <c:tx>
            <c:v>Lim.Inf.</c:v>
          </c:tx>
          <c:spPr>
            <a:ln w="22225" cap="rnd">
              <a:solidFill>
                <a:schemeClr val="tx1"/>
              </a:solidFill>
              <a:prstDash val="dash"/>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Cirugia!$H$35:$H$57</c:f>
              <c:numCache>
                <c:formatCode>General</c:formatCode>
                <c:ptCount val="23"/>
                <c:pt idx="16" formatCode="_-* #,##0_-;\-* #,##0_-;_-* &quot;-&quot;??_-;_-@_-">
                  <c:v>3718272</c:v>
                </c:pt>
                <c:pt idx="17" formatCode="_-* #,##0_-;\-* #,##0_-;_-* &quot;-&quot;??_-;_-@_-">
                  <c:v>3740813.3251471026</c:v>
                </c:pt>
                <c:pt idx="18" formatCode="_-* #,##0_-;\-* #,##0_-;_-* &quot;-&quot;??_-;_-@_-">
                  <c:v>3755115.9469899707</c:v>
                </c:pt>
                <c:pt idx="19" formatCode="_-* #,##0_-;\-* #,##0_-;_-* &quot;-&quot;??_-;_-@_-">
                  <c:v>3785881.4469899707</c:v>
                </c:pt>
                <c:pt idx="20" formatCode="_-* #,##0_-;\-* #,##0_-;_-* &quot;-&quot;??_-;_-@_-">
                  <c:v>3813493.9469899707</c:v>
                </c:pt>
                <c:pt idx="21" formatCode="_-* #,##0_-;\-* #,##0_-;_-* &quot;-&quot;??_-;_-@_-">
                  <c:v>3837953.4469899707</c:v>
                </c:pt>
                <c:pt idx="22" formatCode="_-* #,##0_-;\-* #,##0_-;_-* &quot;-&quot;??_-;_-@_-">
                  <c:v>3859259.9469899707</c:v>
                </c:pt>
              </c:numCache>
            </c:numRef>
          </c:val>
          <c:smooth val="0"/>
          <c:extLst>
            <c:ext xmlns:c16="http://schemas.microsoft.com/office/drawing/2014/chart" uri="{C3380CC4-5D6E-409C-BE32-E72D297353CC}">
              <c16:uniqueId val="{00000002-F965-43E4-A4C1-5F4A95C42F6A}"/>
            </c:ext>
          </c:extLst>
        </c:ser>
        <c:ser>
          <c:idx val="3"/>
          <c:order val="3"/>
          <c:tx>
            <c:v>Lim.Sup.</c:v>
          </c:tx>
          <c:spPr>
            <a:ln w="22225" cap="rnd">
              <a:solidFill>
                <a:schemeClr val="tx1"/>
              </a:solidFill>
              <a:prstDash val="dash"/>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Cirugia!$I$35:$I$57</c:f>
              <c:numCache>
                <c:formatCode>General</c:formatCode>
                <c:ptCount val="23"/>
                <c:pt idx="16" formatCode="_-* #,##0_-;\-* #,##0_-;_-* &quot;-&quot;??_-;_-@_-">
                  <c:v>3718272</c:v>
                </c:pt>
                <c:pt idx="17" formatCode="_-* #,##0_-;\-* #,##0_-;_-* &quot;-&quot;??_-;_-@_-">
                  <c:v>3857085.5059033972</c:v>
                </c:pt>
                <c:pt idx="18" formatCode="_-* #,##0_-;\-* #,##0_-;_-* &quot;-&quot;??_-;_-@_-">
                  <c:v>3894612.3314398858</c:v>
                </c:pt>
                <c:pt idx="19" formatCode="_-* #,##0_-;\-* #,##0_-;_-* &quot;-&quot;??_-;_-@_-">
                  <c:v>3925377.8314398858</c:v>
                </c:pt>
                <c:pt idx="20" formatCode="_-* #,##0_-;\-* #,##0_-;_-* &quot;-&quot;??_-;_-@_-">
                  <c:v>3952990.3314398858</c:v>
                </c:pt>
                <c:pt idx="21" formatCode="_-* #,##0_-;\-* #,##0_-;_-* &quot;-&quot;??_-;_-@_-">
                  <c:v>3977449.8314398858</c:v>
                </c:pt>
                <c:pt idx="22" formatCode="_-* #,##0_-;\-* #,##0_-;_-* &quot;-&quot;??_-;_-@_-">
                  <c:v>3998756.3314398858</c:v>
                </c:pt>
              </c:numCache>
            </c:numRef>
          </c:val>
          <c:smooth val="0"/>
          <c:extLst>
            <c:ext xmlns:c16="http://schemas.microsoft.com/office/drawing/2014/chart" uri="{C3380CC4-5D6E-409C-BE32-E72D297353CC}">
              <c16:uniqueId val="{00000003-F965-43E4-A4C1-5F4A95C42F6A}"/>
            </c:ext>
          </c:extLst>
        </c:ser>
        <c:ser>
          <c:idx val="4"/>
          <c:order val="4"/>
          <c:tx>
            <c:v>Tendencia</c:v>
          </c:tx>
          <c:spPr>
            <a:ln w="38100" cap="rnd">
              <a:solidFill>
                <a:srgbClr val="C00000"/>
              </a:solidFill>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Cirugia!$J$35:$J$57</c:f>
              <c:numCache>
                <c:formatCode>_-* #,##0_-;\-* #,##0_-;_-* "-"??_-;_-@_-</c:formatCode>
                <c:ptCount val="23"/>
                <c:pt idx="0">
                  <c:v>2792232.89317847</c:v>
                </c:pt>
                <c:pt idx="1">
                  <c:v>2841073.9951735502</c:v>
                </c:pt>
                <c:pt idx="2">
                  <c:v>2892116.44830555</c:v>
                </c:pt>
                <c:pt idx="3">
                  <c:v>2950774.27118247</c:v>
                </c:pt>
                <c:pt idx="4">
                  <c:v>3018862.0743613802</c:v>
                </c:pt>
                <c:pt idx="5">
                  <c:v>3094138.4232022702</c:v>
                </c:pt>
                <c:pt idx="6">
                  <c:v>3172689.3706715698</c:v>
                </c:pt>
                <c:pt idx="7">
                  <c:v>3256626.7325353301</c:v>
                </c:pt>
                <c:pt idx="8">
                  <c:v>3345238.76278101</c:v>
                </c:pt>
                <c:pt idx="9">
                  <c:v>3428325.59330686</c:v>
                </c:pt>
                <c:pt idx="10">
                  <c:v>3503990.56221426</c:v>
                </c:pt>
                <c:pt idx="11">
                  <c:v>3569709.2420534701</c:v>
                </c:pt>
                <c:pt idx="12">
                  <c:v>3618512.77833906</c:v>
                </c:pt>
                <c:pt idx="13">
                  <c:v>3651569.77624331</c:v>
                </c:pt>
                <c:pt idx="14">
                  <c:v>3673138.0445486801</c:v>
                </c:pt>
                <c:pt idx="15">
                  <c:v>3686983.7626637602</c:v>
                </c:pt>
                <c:pt idx="16">
                  <c:v>3703321.2692390098</c:v>
                </c:pt>
              </c:numCache>
            </c:numRef>
          </c:val>
          <c:smooth val="0"/>
          <c:extLst>
            <c:ext xmlns:c16="http://schemas.microsoft.com/office/drawing/2014/chart" uri="{C3380CC4-5D6E-409C-BE32-E72D297353CC}">
              <c16:uniqueId val="{00000004-F965-43E4-A4C1-5F4A95C42F6A}"/>
            </c:ext>
          </c:extLst>
        </c:ser>
        <c:dLbls>
          <c:showLegendKey val="0"/>
          <c:showVal val="0"/>
          <c:showCatName val="0"/>
          <c:showSerName val="0"/>
          <c:showPercent val="0"/>
          <c:showBubbleSize val="0"/>
        </c:dLbls>
        <c:marker val="1"/>
        <c:smooth val="0"/>
        <c:axId val="462443632"/>
        <c:axId val="245087600"/>
      </c:lineChart>
      <c:catAx>
        <c:axId val="46244363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45087600"/>
        <c:crosses val="autoZero"/>
        <c:auto val="1"/>
        <c:lblAlgn val="ctr"/>
        <c:lblOffset val="100"/>
        <c:noMultiLvlLbl val="0"/>
      </c:catAx>
      <c:valAx>
        <c:axId val="245087600"/>
        <c:scaling>
          <c:orientation val="minMax"/>
          <c:min val="250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6244363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FB0C-4C23-A7BD-0891DCEA702D}"/>
              </c:ext>
            </c:extLst>
          </c:dPt>
          <c:dPt>
            <c:idx val="17"/>
            <c:invertIfNegative val="0"/>
            <c:bubble3D val="0"/>
            <c:spPr>
              <a:solidFill>
                <a:srgbClr val="00B050"/>
              </a:solidFill>
              <a:ln>
                <a:noFill/>
              </a:ln>
              <a:effectLst/>
            </c:spPr>
            <c:extLst>
              <c:ext xmlns:c16="http://schemas.microsoft.com/office/drawing/2014/chart" uri="{C3380CC4-5D6E-409C-BE32-E72D297353CC}">
                <c16:uniqueId val="{00000003-FB0C-4C23-A7BD-0891DCEA702D}"/>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B0C-4C23-A7BD-0891DCEA702D}"/>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0C-4C23-A7BD-0891DCEA702D}"/>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FB0C-4C23-A7BD-0891DCEA702D}"/>
            </c:ext>
          </c:extLst>
        </c:ser>
        <c:dLbls>
          <c:showLegendKey val="0"/>
          <c:showVal val="0"/>
          <c:showCatName val="0"/>
          <c:showSerName val="0"/>
          <c:showPercent val="0"/>
          <c:showBubbleSize val="0"/>
        </c:dLbls>
        <c:gapWidth val="60"/>
        <c:overlap val="100"/>
        <c:axId val="159720384"/>
        <c:axId val="159721504"/>
      </c:barChart>
      <c:catAx>
        <c:axId val="15972038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159721504"/>
        <c:crosses val="autoZero"/>
        <c:auto val="1"/>
        <c:lblAlgn val="ctr"/>
        <c:lblOffset val="100"/>
        <c:noMultiLvlLbl val="0"/>
      </c:catAx>
      <c:valAx>
        <c:axId val="159721504"/>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5972038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0DC8-481E-9574-97F313C96BC1}"/>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0DC8-481E-9574-97F313C96BC1}"/>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0DC8-481E-9574-97F313C96BC1}"/>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0DC8-481E-9574-97F313C96BC1}"/>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0DC8-481E-9574-97F313C96BC1}"/>
            </c:ext>
          </c:extLst>
        </c:ser>
        <c:dLbls>
          <c:showLegendKey val="0"/>
          <c:showVal val="0"/>
          <c:showCatName val="0"/>
          <c:showSerName val="0"/>
          <c:showPercent val="0"/>
          <c:showBubbleSize val="0"/>
        </c:dLbls>
        <c:marker val="1"/>
        <c:smooth val="0"/>
        <c:axId val="282944816"/>
        <c:axId val="282945376"/>
      </c:lineChart>
      <c:catAx>
        <c:axId val="28294481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82945376"/>
        <c:crosses val="autoZero"/>
        <c:auto val="1"/>
        <c:lblAlgn val="ctr"/>
        <c:lblOffset val="100"/>
        <c:noMultiLvlLbl val="0"/>
      </c:catAx>
      <c:valAx>
        <c:axId val="282945376"/>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8294481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Hoja1!$A$18:$A$24</c:f>
              <c:numCache>
                <c:formatCode>General</c:formatCode>
                <c:ptCount val="7"/>
                <c:pt idx="0">
                  <c:v>2012</c:v>
                </c:pt>
                <c:pt idx="1">
                  <c:v>2013</c:v>
                </c:pt>
                <c:pt idx="2">
                  <c:v>2014</c:v>
                </c:pt>
                <c:pt idx="3">
                  <c:v>2015</c:v>
                </c:pt>
                <c:pt idx="4">
                  <c:v>2016</c:v>
                </c:pt>
                <c:pt idx="5">
                  <c:v>2017</c:v>
                </c:pt>
                <c:pt idx="6">
                  <c:v>2018</c:v>
                </c:pt>
              </c:numCache>
            </c:numRef>
          </c:cat>
          <c:val>
            <c:numRef>
              <c:f>Hoja1!$B$18:$B$24</c:f>
              <c:numCache>
                <c:formatCode>General</c:formatCode>
                <c:ptCount val="7"/>
                <c:pt idx="0">
                  <c:v>669</c:v>
                </c:pt>
                <c:pt idx="1">
                  <c:v>660</c:v>
                </c:pt>
                <c:pt idx="2">
                  <c:v>669</c:v>
                </c:pt>
                <c:pt idx="3">
                  <c:v>700</c:v>
                </c:pt>
                <c:pt idx="4">
                  <c:v>721</c:v>
                </c:pt>
                <c:pt idx="5">
                  <c:v>800</c:v>
                </c:pt>
                <c:pt idx="6">
                  <c:v>809</c:v>
                </c:pt>
              </c:numCache>
            </c:numRef>
          </c:val>
          <c:smooth val="0"/>
          <c:extLst>
            <c:ext xmlns:c16="http://schemas.microsoft.com/office/drawing/2014/chart" uri="{C3380CC4-5D6E-409C-BE32-E72D297353CC}">
              <c16:uniqueId val="{00000000-2D4F-433C-9A00-F8D94A058BC3}"/>
            </c:ext>
          </c:extLst>
        </c:ser>
        <c:ser>
          <c:idx val="1"/>
          <c:order val="1"/>
          <c:tx>
            <c:v>Tendencia</c:v>
          </c:tx>
          <c:spPr>
            <a:ln w="38100" cap="rnd">
              <a:solidFill>
                <a:srgbClr val="C00000"/>
              </a:solidFill>
              <a:round/>
            </a:ln>
            <a:effectLst/>
          </c:spPr>
          <c:marker>
            <c:symbol val="none"/>
          </c:marker>
          <c:cat>
            <c:numRef>
              <c:f>Hoja1!$A$18:$A$24</c:f>
              <c:numCache>
                <c:formatCode>General</c:formatCode>
                <c:ptCount val="7"/>
                <c:pt idx="0">
                  <c:v>2012</c:v>
                </c:pt>
                <c:pt idx="1">
                  <c:v>2013</c:v>
                </c:pt>
                <c:pt idx="2">
                  <c:v>2014</c:v>
                </c:pt>
                <c:pt idx="3">
                  <c:v>2015</c:v>
                </c:pt>
                <c:pt idx="4">
                  <c:v>2016</c:v>
                </c:pt>
                <c:pt idx="5">
                  <c:v>2017</c:v>
                </c:pt>
                <c:pt idx="6">
                  <c:v>2018</c:v>
                </c:pt>
              </c:numCache>
            </c:numRef>
          </c:cat>
          <c:val>
            <c:numRef>
              <c:f>Hoja1!$C$18:$C$24</c:f>
              <c:numCache>
                <c:formatCode>General</c:formatCode>
                <c:ptCount val="7"/>
                <c:pt idx="0">
                  <c:v>649.23386827981005</c:v>
                </c:pt>
                <c:pt idx="1">
                  <c:v>664.85634927733201</c:v>
                </c:pt>
                <c:pt idx="2">
                  <c:v>683.77318556155103</c:v>
                </c:pt>
                <c:pt idx="3">
                  <c:v>708.46934087294596</c:v>
                </c:pt>
                <c:pt idx="4">
                  <c:v>738.967581358399</c:v>
                </c:pt>
                <c:pt idx="5">
                  <c:v>773.87911635263799</c:v>
                </c:pt>
                <c:pt idx="6">
                  <c:v>808.82055829732303</c:v>
                </c:pt>
              </c:numCache>
            </c:numRef>
          </c:val>
          <c:smooth val="0"/>
          <c:extLst>
            <c:ext xmlns:c16="http://schemas.microsoft.com/office/drawing/2014/chart" uri="{C3380CC4-5D6E-409C-BE32-E72D297353CC}">
              <c16:uniqueId val="{00000001-2D4F-433C-9A00-F8D94A058BC3}"/>
            </c:ext>
          </c:extLst>
        </c:ser>
        <c:dLbls>
          <c:showLegendKey val="0"/>
          <c:showVal val="0"/>
          <c:showCatName val="0"/>
          <c:showSerName val="0"/>
          <c:showPercent val="0"/>
          <c:showBubbleSize val="0"/>
        </c:dLbls>
        <c:marker val="1"/>
        <c:smooth val="0"/>
        <c:axId val="250225680"/>
        <c:axId val="250226240"/>
      </c:lineChart>
      <c:catAx>
        <c:axId val="25022568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50226240"/>
        <c:crosses val="autoZero"/>
        <c:auto val="1"/>
        <c:lblAlgn val="ctr"/>
        <c:lblOffset val="100"/>
        <c:noMultiLvlLbl val="0"/>
      </c:catAx>
      <c:valAx>
        <c:axId val="250226240"/>
        <c:scaling>
          <c:orientation val="minMax"/>
          <c:min val="5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Cirugía</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50225680"/>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71D-4149-B638-93957C3194F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71D-4149-B638-93957C3194F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B71D-4149-B638-93957C3194F7}"/>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71D-4149-B638-93957C3194F7}"/>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1D-4149-B638-93957C3194F7}"/>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71D-4149-B638-93957C3194F7}"/>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1D-4149-B638-93957C3194F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B71D-4149-B638-93957C3194F7}"/>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86C7-4D5A-854B-F769722EE54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86C7-4D5A-854B-F769722EE54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86C7-4D5A-854B-F769722EE547}"/>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86C7-4D5A-854B-F769722EE547}"/>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B640-4E8F-A3C8-150713177D22}"/>
            </c:ext>
          </c:extLst>
        </c:ser>
        <c:dLbls>
          <c:showLegendKey val="0"/>
          <c:showVal val="0"/>
          <c:showCatName val="0"/>
          <c:showSerName val="0"/>
          <c:showPercent val="0"/>
          <c:showBubbleSize val="0"/>
        </c:dLbls>
        <c:gapWidth val="267"/>
        <c:overlap val="-43"/>
        <c:axId val="512744624"/>
        <c:axId val="512745184"/>
      </c:barChart>
      <c:catAx>
        <c:axId val="512744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512745184"/>
        <c:crosses val="autoZero"/>
        <c:auto val="1"/>
        <c:lblAlgn val="ctr"/>
        <c:lblOffset val="100"/>
        <c:noMultiLvlLbl val="0"/>
      </c:catAx>
      <c:valAx>
        <c:axId val="5127451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51274462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1025371828521434E-2"/>
          <c:y val="5.0925925925925923E-2"/>
          <c:w val="0.90286351706036749"/>
          <c:h val="0.73577136191309422"/>
        </c:manualLayout>
      </c:layout>
      <c:barChart>
        <c:barDir val="col"/>
        <c:grouping val="clustered"/>
        <c:varyColors val="0"/>
        <c:ser>
          <c:idx val="0"/>
          <c:order val="0"/>
          <c:tx>
            <c:strRef>
              <c:f>'Cirugia General'!$A$97</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'Cirugia General'!$B$96:$H$96</c:f>
              <c:numCache>
                <c:formatCode>General</c:formatCode>
                <c:ptCount val="7"/>
                <c:pt idx="0">
                  <c:v>2012</c:v>
                </c:pt>
                <c:pt idx="1">
                  <c:v>2013</c:v>
                </c:pt>
                <c:pt idx="2">
                  <c:v>2014</c:v>
                </c:pt>
                <c:pt idx="3">
                  <c:v>2015</c:v>
                </c:pt>
                <c:pt idx="4">
                  <c:v>2016</c:v>
                </c:pt>
                <c:pt idx="5">
                  <c:v>2017</c:v>
                </c:pt>
                <c:pt idx="6">
                  <c:v>2018</c:v>
                </c:pt>
              </c:numCache>
            </c:numRef>
          </c:cat>
          <c:val>
            <c:numRef>
              <c:f>'Cirugia General'!$B$97:$H$97</c:f>
              <c:numCache>
                <c:formatCode>General</c:formatCode>
                <c:ptCount val="7"/>
                <c:pt idx="0">
                  <c:v>17</c:v>
                </c:pt>
                <c:pt idx="1">
                  <c:v>12</c:v>
                </c:pt>
                <c:pt idx="2">
                  <c:v>12</c:v>
                </c:pt>
                <c:pt idx="3">
                  <c:v>11</c:v>
                </c:pt>
                <c:pt idx="4">
                  <c:v>12</c:v>
                </c:pt>
                <c:pt idx="5">
                  <c:v>11</c:v>
                </c:pt>
                <c:pt idx="6">
                  <c:v>16</c:v>
                </c:pt>
              </c:numCache>
            </c:numRef>
          </c:val>
          <c:extLst>
            <c:ext xmlns:c16="http://schemas.microsoft.com/office/drawing/2014/chart" uri="{C3380CC4-5D6E-409C-BE32-E72D297353CC}">
              <c16:uniqueId val="{00000000-E5B2-429F-83F2-173B77F42C47}"/>
            </c:ext>
          </c:extLst>
        </c:ser>
        <c:ser>
          <c:idx val="1"/>
          <c:order val="1"/>
          <c:tx>
            <c:strRef>
              <c:f>'Cirugia General'!$A$98</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'Cirugia General'!$B$96:$H$96</c:f>
              <c:numCache>
                <c:formatCode>General</c:formatCode>
                <c:ptCount val="7"/>
                <c:pt idx="0">
                  <c:v>2012</c:v>
                </c:pt>
                <c:pt idx="1">
                  <c:v>2013</c:v>
                </c:pt>
                <c:pt idx="2">
                  <c:v>2014</c:v>
                </c:pt>
                <c:pt idx="3">
                  <c:v>2015</c:v>
                </c:pt>
                <c:pt idx="4">
                  <c:v>2016</c:v>
                </c:pt>
                <c:pt idx="5">
                  <c:v>2017</c:v>
                </c:pt>
                <c:pt idx="6">
                  <c:v>2018</c:v>
                </c:pt>
              </c:numCache>
            </c:numRef>
          </c:cat>
          <c:val>
            <c:numRef>
              <c:f>'Cirugia General'!$B$98:$H$98</c:f>
              <c:numCache>
                <c:formatCode>General</c:formatCode>
                <c:ptCount val="7"/>
                <c:pt idx="0">
                  <c:v>49</c:v>
                </c:pt>
                <c:pt idx="1">
                  <c:v>48</c:v>
                </c:pt>
                <c:pt idx="2">
                  <c:v>46</c:v>
                </c:pt>
                <c:pt idx="3">
                  <c:v>45</c:v>
                </c:pt>
                <c:pt idx="4">
                  <c:v>39</c:v>
                </c:pt>
                <c:pt idx="5">
                  <c:v>37</c:v>
                </c:pt>
                <c:pt idx="6">
                  <c:v>42</c:v>
                </c:pt>
              </c:numCache>
            </c:numRef>
          </c:val>
          <c:extLst>
            <c:ext xmlns:c16="http://schemas.microsoft.com/office/drawing/2014/chart" uri="{C3380CC4-5D6E-409C-BE32-E72D297353CC}">
              <c16:uniqueId val="{00000001-E5B2-429F-83F2-173B77F42C47}"/>
            </c:ext>
          </c:extLst>
        </c:ser>
        <c:ser>
          <c:idx val="2"/>
          <c:order val="2"/>
          <c:tx>
            <c:strRef>
              <c:f>'Cirugia General'!$A$99</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'Cirugia General'!$B$96:$H$96</c:f>
              <c:numCache>
                <c:formatCode>General</c:formatCode>
                <c:ptCount val="7"/>
                <c:pt idx="0">
                  <c:v>2012</c:v>
                </c:pt>
                <c:pt idx="1">
                  <c:v>2013</c:v>
                </c:pt>
                <c:pt idx="2">
                  <c:v>2014</c:v>
                </c:pt>
                <c:pt idx="3">
                  <c:v>2015</c:v>
                </c:pt>
                <c:pt idx="4">
                  <c:v>2016</c:v>
                </c:pt>
                <c:pt idx="5">
                  <c:v>2017</c:v>
                </c:pt>
                <c:pt idx="6">
                  <c:v>2018</c:v>
                </c:pt>
              </c:numCache>
            </c:numRef>
          </c:cat>
          <c:val>
            <c:numRef>
              <c:f>'Cirugia General'!$B$99:$H$99</c:f>
              <c:numCache>
                <c:formatCode>General</c:formatCode>
                <c:ptCount val="7"/>
                <c:pt idx="0">
                  <c:v>10</c:v>
                </c:pt>
                <c:pt idx="1">
                  <c:v>10</c:v>
                </c:pt>
                <c:pt idx="2">
                  <c:v>10</c:v>
                </c:pt>
                <c:pt idx="3">
                  <c:v>10</c:v>
                </c:pt>
                <c:pt idx="4">
                  <c:v>13</c:v>
                </c:pt>
                <c:pt idx="5">
                  <c:v>7</c:v>
                </c:pt>
                <c:pt idx="6">
                  <c:v>6</c:v>
                </c:pt>
              </c:numCache>
            </c:numRef>
          </c:val>
          <c:extLst>
            <c:ext xmlns:c16="http://schemas.microsoft.com/office/drawing/2014/chart" uri="{C3380CC4-5D6E-409C-BE32-E72D297353CC}">
              <c16:uniqueId val="{00000002-E5B2-429F-83F2-173B77F42C47}"/>
            </c:ext>
          </c:extLst>
        </c:ser>
        <c:dLbls>
          <c:showLegendKey val="0"/>
          <c:showVal val="0"/>
          <c:showCatName val="0"/>
          <c:showSerName val="0"/>
          <c:showPercent val="0"/>
          <c:showBubbleSize val="0"/>
        </c:dLbls>
        <c:gapWidth val="219"/>
        <c:overlap val="-27"/>
        <c:axId val="519686304"/>
        <c:axId val="519687616"/>
      </c:barChart>
      <c:catAx>
        <c:axId val="519686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19687616"/>
        <c:crosses val="autoZero"/>
        <c:auto val="1"/>
        <c:lblAlgn val="ctr"/>
        <c:lblOffset val="100"/>
        <c:noMultiLvlLbl val="0"/>
      </c:catAx>
      <c:valAx>
        <c:axId val="5196876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19686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8.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65B2B8-B9EA-480E-B0E2-8F2D0BED8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18362</Words>
  <Characters>100995</Characters>
  <Application>Microsoft Office Word</Application>
  <DocSecurity>0</DocSecurity>
  <Lines>841</Lines>
  <Paragraphs>238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119119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Aram Isai Ramos</dc:creator>
  <cp:keywords/>
  <dc:description/>
  <cp:lastModifiedBy>Jessica Zaragoza</cp:lastModifiedBy>
  <cp:revision>6</cp:revision>
  <cp:lastPrinted>2019-07-31T16:34:00Z</cp:lastPrinted>
  <dcterms:created xsi:type="dcterms:W3CDTF">2019-07-31T15:54:00Z</dcterms:created>
  <dcterms:modified xsi:type="dcterms:W3CDTF">2019-08-02T17:06:00Z</dcterms:modified>
</cp:coreProperties>
</file>